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E7" w:rsidRDefault="00D745E7" w:rsidP="00D745E7">
      <w:pPr>
        <w:pStyle w:val="Corpsdetexte"/>
        <w:spacing w:after="0"/>
        <w:rPr>
          <w:b/>
        </w:rPr>
      </w:pPr>
      <w:r w:rsidRPr="0071049B">
        <w:rPr>
          <w:b/>
        </w:rPr>
        <w:t>n.a.f. 24 776</w:t>
      </w:r>
    </w:p>
    <w:p w:rsidR="00D745E7" w:rsidRDefault="00D745E7" w:rsidP="00D745E7">
      <w:pPr>
        <w:pStyle w:val="Corpsdetexte"/>
        <w:spacing w:after="0"/>
        <w:rPr>
          <w:b/>
        </w:rPr>
      </w:pPr>
    </w:p>
    <w:p w:rsidR="00D745E7" w:rsidRDefault="00D745E7" w:rsidP="00D745E7">
      <w:pPr>
        <w:pStyle w:val="Corpsdetexte"/>
        <w:spacing w:after="0"/>
        <w:rPr>
          <w:b/>
        </w:rPr>
      </w:pPr>
    </w:p>
    <w:p w:rsidR="00D745E7" w:rsidRPr="0071049B" w:rsidRDefault="00D745E7" w:rsidP="00D745E7">
      <w:pPr>
        <w:pStyle w:val="Corpsdetexte"/>
        <w:spacing w:after="0"/>
        <w:rPr>
          <w:b/>
        </w:rPr>
      </w:pPr>
    </w:p>
    <w:p w:rsidR="00D745E7" w:rsidRDefault="00D745E7" w:rsidP="00D745E7">
      <w:pPr>
        <w:jc w:val="center"/>
        <w:rPr>
          <w:b/>
          <w:bCs/>
          <w:sz w:val="28"/>
          <w:lang w:val="en-GB"/>
        </w:rPr>
      </w:pPr>
      <w:r w:rsidRPr="000E7E72">
        <w:rPr>
          <w:b/>
          <w:bCs/>
          <w:sz w:val="28"/>
          <w:lang w:val="en-GB"/>
        </w:rPr>
        <w:t>WILLIAM SHAKESPEARE</w:t>
      </w:r>
    </w:p>
    <w:p w:rsidR="00D745E7" w:rsidRPr="000E7E72" w:rsidRDefault="00D745E7" w:rsidP="00D745E7">
      <w:pPr>
        <w:jc w:val="center"/>
        <w:rPr>
          <w:b/>
          <w:bCs/>
          <w:sz w:val="28"/>
          <w:lang w:val="en-GB"/>
        </w:rPr>
      </w:pPr>
    </w:p>
    <w:p w:rsidR="00D745E7" w:rsidRDefault="00D745E7" w:rsidP="00D745E7">
      <w:pPr>
        <w:jc w:val="center"/>
        <w:rPr>
          <w:rStyle w:val="pl-dv-unittitle"/>
          <w:rFonts w:eastAsia="Arial Unicode MS"/>
          <w:b/>
          <w:color w:val="000000"/>
          <w:sz w:val="24"/>
          <w:szCs w:val="24"/>
          <w:lang w:val="en-GB"/>
        </w:rPr>
      </w:pPr>
      <w:r w:rsidRPr="00900DB9">
        <w:rPr>
          <w:rStyle w:val="pl-dv-unittitle"/>
          <w:rFonts w:eastAsia="Arial Unicode MS"/>
          <w:b/>
          <w:color w:val="000000"/>
          <w:sz w:val="24"/>
          <w:szCs w:val="24"/>
          <w:lang w:val="en-GB"/>
        </w:rPr>
        <w:t>Reliquat et documents</w:t>
      </w:r>
    </w:p>
    <w:p w:rsidR="00202379" w:rsidRDefault="00202379" w:rsidP="00D745E7">
      <w:pPr>
        <w:jc w:val="center"/>
        <w:rPr>
          <w:rStyle w:val="pl-dv-unittitle"/>
          <w:rFonts w:eastAsia="Arial Unicode MS"/>
          <w:b/>
          <w:color w:val="000000"/>
          <w:sz w:val="24"/>
          <w:szCs w:val="24"/>
          <w:lang w:val="en-GB"/>
        </w:rPr>
      </w:pPr>
    </w:p>
    <w:p w:rsidR="00202379" w:rsidRPr="007E0AE6" w:rsidRDefault="00202379" w:rsidP="00D745E7">
      <w:pPr>
        <w:jc w:val="center"/>
        <w:rPr>
          <w:rStyle w:val="pl-dv-unittitle"/>
          <w:rFonts w:eastAsia="Arial Unicode MS"/>
          <w:color w:val="000000"/>
          <w:lang w:val="en-GB"/>
        </w:rPr>
      </w:pPr>
      <w:bookmarkStart w:id="0" w:name="_GoBack"/>
      <w:r w:rsidRPr="007E0AE6">
        <w:rPr>
          <w:rStyle w:val="pl-dv-unittitle"/>
          <w:rFonts w:eastAsia="Arial Unicode MS"/>
          <w:color w:val="000000"/>
          <w:lang w:val="en-GB"/>
        </w:rPr>
        <w:t>Edition critique – Jacques Cassier, éditeur</w:t>
      </w:r>
      <w:bookmarkEnd w:id="0"/>
    </w:p>
    <w:p w:rsidR="00D745E7" w:rsidRDefault="00D745E7" w:rsidP="00D745E7">
      <w:pPr>
        <w:jc w:val="center"/>
        <w:rPr>
          <w:rStyle w:val="pl-dv-unittitle"/>
          <w:rFonts w:eastAsia="Arial Unicode MS"/>
          <w:b/>
          <w:color w:val="000000"/>
          <w:sz w:val="24"/>
          <w:szCs w:val="24"/>
          <w:lang w:val="en-GB"/>
        </w:rPr>
      </w:pPr>
    </w:p>
    <w:p w:rsidR="00D745E7" w:rsidRPr="00F417D0" w:rsidRDefault="00D745E7" w:rsidP="00D745E7">
      <w:pPr>
        <w:jc w:val="center"/>
        <w:rPr>
          <w:rFonts w:eastAsia="Arial Unicode MS"/>
          <w:b/>
          <w:color w:val="000000"/>
          <w:sz w:val="24"/>
          <w:szCs w:val="24"/>
        </w:rPr>
      </w:pPr>
    </w:p>
    <w:tbl>
      <w:tblPr>
        <w:tblStyle w:val="Grilledutableau"/>
        <w:tblW w:w="0" w:type="auto"/>
        <w:tblLook w:val="04A0"/>
      </w:tblPr>
      <w:tblGrid>
        <w:gridCol w:w="9062"/>
      </w:tblGrid>
      <w:tr w:rsidR="00D745E7" w:rsidRPr="00F417D0" w:rsidTr="00A464CD">
        <w:tc>
          <w:tcPr>
            <w:tcW w:w="9062" w:type="dxa"/>
            <w:shd w:val="clear" w:color="auto" w:fill="00B0F0"/>
          </w:tcPr>
          <w:p w:rsidR="00D745E7" w:rsidRPr="00F417D0" w:rsidRDefault="00D745E7" w:rsidP="00A464CD">
            <w:pPr>
              <w:rPr>
                <w:b/>
                <w:color w:val="000000"/>
                <w:sz w:val="24"/>
                <w:szCs w:val="24"/>
              </w:rPr>
            </w:pPr>
          </w:p>
          <w:p w:rsidR="00D745E7" w:rsidRPr="00F417D0" w:rsidRDefault="00D745E7" w:rsidP="00D745E7">
            <w:pPr>
              <w:rPr>
                <w:b/>
                <w:color w:val="000000"/>
                <w:sz w:val="24"/>
                <w:szCs w:val="24"/>
              </w:rPr>
            </w:pPr>
            <w:r w:rsidRPr="00F417D0">
              <w:rPr>
                <w:b/>
                <w:color w:val="000000"/>
                <w:sz w:val="24"/>
                <w:szCs w:val="24"/>
              </w:rPr>
              <w:t>Sommaire</w:t>
            </w:r>
          </w:p>
          <w:p w:rsidR="00D745E7" w:rsidRPr="00D745E7" w:rsidRDefault="00D745E7" w:rsidP="00D745E7">
            <w:pPr>
              <w:rPr>
                <w:b/>
                <w:color w:val="000000"/>
                <w:sz w:val="24"/>
                <w:szCs w:val="24"/>
              </w:rPr>
            </w:pPr>
            <w:r w:rsidRPr="00D745E7">
              <w:rPr>
                <w:b/>
                <w:color w:val="000000"/>
                <w:sz w:val="24"/>
                <w:szCs w:val="24"/>
              </w:rPr>
              <w:t>A : Notice</w:t>
            </w:r>
            <w:r w:rsidRPr="00D745E7">
              <w:rPr>
                <w:rFonts w:eastAsia="Arial Unicode MS"/>
                <w:b/>
                <w:color w:val="000000"/>
                <w:sz w:val="24"/>
                <w:szCs w:val="24"/>
              </w:rPr>
              <w:tab/>
            </w:r>
            <w:r w:rsidRPr="00D745E7">
              <w:rPr>
                <w:rFonts w:eastAsia="Arial Unicode MS"/>
                <w:b/>
                <w:color w:val="000000"/>
                <w:sz w:val="24"/>
                <w:szCs w:val="24"/>
              </w:rPr>
              <w:tab/>
            </w:r>
            <w:r w:rsidRPr="00D745E7">
              <w:rPr>
                <w:rFonts w:eastAsia="Arial Unicode MS"/>
                <w:b/>
                <w:color w:val="000000"/>
                <w:sz w:val="24"/>
                <w:szCs w:val="24"/>
              </w:rPr>
              <w:tab/>
            </w:r>
            <w:r w:rsidRPr="00D745E7">
              <w:rPr>
                <w:rFonts w:eastAsia="Arial Unicode MS"/>
                <w:b/>
                <w:color w:val="000000"/>
                <w:sz w:val="24"/>
                <w:szCs w:val="24"/>
              </w:rPr>
              <w:tab/>
            </w:r>
            <w:r w:rsidRPr="00D745E7">
              <w:rPr>
                <w:rFonts w:eastAsia="Arial Unicode MS"/>
                <w:b/>
                <w:color w:val="000000"/>
                <w:sz w:val="24"/>
                <w:szCs w:val="24"/>
              </w:rPr>
              <w:tab/>
            </w:r>
            <w:r w:rsidRPr="00D745E7">
              <w:rPr>
                <w:rFonts w:eastAsia="Arial Unicode MS"/>
                <w:b/>
                <w:color w:val="000000"/>
                <w:sz w:val="24"/>
                <w:szCs w:val="24"/>
              </w:rPr>
              <w:tab/>
            </w:r>
            <w:r w:rsidRPr="00D745E7">
              <w:rPr>
                <w:rFonts w:eastAsia="Arial Unicode MS"/>
                <w:b/>
                <w:color w:val="000000"/>
                <w:sz w:val="24"/>
                <w:szCs w:val="24"/>
              </w:rPr>
              <w:tab/>
            </w:r>
            <w:r w:rsidRPr="00D745E7">
              <w:rPr>
                <w:rFonts w:eastAsia="Arial Unicode MS"/>
                <w:b/>
                <w:color w:val="000000"/>
                <w:sz w:val="24"/>
                <w:szCs w:val="24"/>
              </w:rPr>
              <w:tab/>
            </w:r>
            <w:r w:rsidRPr="00D745E7">
              <w:rPr>
                <w:rFonts w:eastAsia="Arial Unicode MS"/>
                <w:b/>
                <w:color w:val="000000"/>
                <w:sz w:val="24"/>
                <w:szCs w:val="24"/>
              </w:rPr>
              <w:tab/>
            </w:r>
            <w:r w:rsidRPr="00D745E7">
              <w:rPr>
                <w:rFonts w:eastAsia="Arial Unicode MS"/>
                <w:b/>
                <w:color w:val="000000"/>
                <w:sz w:val="24"/>
                <w:szCs w:val="24"/>
              </w:rPr>
              <w:tab/>
            </w:r>
          </w:p>
          <w:p w:rsidR="00D745E7" w:rsidRPr="00D745E7" w:rsidRDefault="00D745E7" w:rsidP="00D745E7">
            <w:pPr>
              <w:rPr>
                <w:color w:val="000000"/>
                <w:sz w:val="24"/>
                <w:szCs w:val="24"/>
              </w:rPr>
            </w:pPr>
            <w:r w:rsidRPr="00D745E7">
              <w:rPr>
                <w:color w:val="000000"/>
                <w:sz w:val="24"/>
                <w:szCs w:val="24"/>
              </w:rPr>
              <w:t>B : n.a.f  24776. Première partie – feuillets 1 à 522</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hyperlink r:id="rId6" w:history="1">
              <w:r w:rsidRPr="00B658D2">
                <w:rPr>
                  <w:rStyle w:val="Lienhypertexte"/>
                  <w:color w:val="auto"/>
                  <w:sz w:val="24"/>
                  <w:szCs w:val="24"/>
                </w:rPr>
                <w:sym w:font="Wingdings" w:char="F026"/>
              </w:r>
            </w:hyperlink>
          </w:p>
          <w:p w:rsidR="00D745E7" w:rsidRPr="00F417D0" w:rsidRDefault="00D745E7" w:rsidP="00D745E7">
            <w:pPr>
              <w:rPr>
                <w:color w:val="000000"/>
                <w:sz w:val="24"/>
                <w:szCs w:val="24"/>
              </w:rPr>
            </w:pPr>
            <w:r w:rsidRPr="00F417D0">
              <w:rPr>
                <w:color w:val="000000"/>
                <w:sz w:val="24"/>
                <w:szCs w:val="24"/>
              </w:rPr>
              <w:t>C : n.a.f. 24776. Seconde partie – feuillets 523 à</w:t>
            </w:r>
            <w:r>
              <w:rPr>
                <w:color w:val="000000"/>
                <w:sz w:val="24"/>
                <w:szCs w:val="24"/>
              </w:rPr>
              <w:t xml:space="preserve"> 614</w:t>
            </w:r>
            <w:r w:rsidRPr="00F417D0">
              <w:rPr>
                <w:color w:val="000000"/>
                <w:sz w:val="24"/>
                <w:szCs w:val="24"/>
              </w:rPr>
              <w:tab/>
            </w:r>
            <w:r w:rsidRPr="00F417D0">
              <w:rPr>
                <w:color w:val="000000"/>
                <w:sz w:val="24"/>
                <w:szCs w:val="24"/>
              </w:rPr>
              <w:tab/>
            </w:r>
            <w:r w:rsidRPr="00F417D0">
              <w:rPr>
                <w:color w:val="000000"/>
                <w:sz w:val="24"/>
                <w:szCs w:val="24"/>
              </w:rPr>
              <w:tab/>
            </w:r>
            <w:r w:rsidRPr="00F417D0">
              <w:rPr>
                <w:color w:val="000000"/>
                <w:sz w:val="24"/>
                <w:szCs w:val="24"/>
              </w:rPr>
              <w:tab/>
            </w:r>
            <w:hyperlink r:id="rId7" w:history="1">
              <w:r w:rsidRPr="00F417D0">
                <w:rPr>
                  <w:sz w:val="24"/>
                  <w:szCs w:val="24"/>
                  <w:u w:val="single"/>
                </w:rPr>
                <w:sym w:font="Wingdings" w:char="F026"/>
              </w:r>
            </w:hyperlink>
          </w:p>
          <w:p w:rsidR="00D745E7" w:rsidRPr="00D745E7" w:rsidRDefault="00D745E7" w:rsidP="00A464CD">
            <w:r w:rsidRPr="00F417D0">
              <w:rPr>
                <w:color w:val="000000"/>
                <w:sz w:val="24"/>
                <w:szCs w:val="24"/>
              </w:rPr>
              <w:t>D : Index des noms propres</w:t>
            </w:r>
            <w:r w:rsidRPr="00F417D0">
              <w:rPr>
                <w:color w:val="000000"/>
                <w:sz w:val="24"/>
                <w:szCs w:val="24"/>
              </w:rPr>
              <w:tab/>
            </w:r>
            <w:r w:rsidRPr="00F417D0">
              <w:rPr>
                <w:color w:val="000000"/>
                <w:sz w:val="24"/>
                <w:szCs w:val="24"/>
              </w:rPr>
              <w:tab/>
            </w:r>
            <w:r w:rsidRPr="00F417D0">
              <w:rPr>
                <w:color w:val="000000"/>
                <w:sz w:val="24"/>
                <w:szCs w:val="24"/>
              </w:rPr>
              <w:tab/>
            </w:r>
            <w:r w:rsidRPr="00F417D0">
              <w:rPr>
                <w:color w:val="000000"/>
                <w:sz w:val="24"/>
                <w:szCs w:val="24"/>
              </w:rPr>
              <w:tab/>
            </w:r>
            <w:r w:rsidRPr="00F417D0">
              <w:rPr>
                <w:color w:val="000000"/>
                <w:sz w:val="24"/>
                <w:szCs w:val="24"/>
              </w:rPr>
              <w:tab/>
            </w:r>
            <w:r w:rsidRPr="00F417D0">
              <w:rPr>
                <w:color w:val="000000"/>
                <w:sz w:val="24"/>
                <w:szCs w:val="24"/>
              </w:rPr>
              <w:tab/>
            </w:r>
            <w:r w:rsidRPr="00F417D0">
              <w:rPr>
                <w:color w:val="000000"/>
                <w:sz w:val="24"/>
                <w:szCs w:val="24"/>
              </w:rPr>
              <w:tab/>
            </w:r>
            <w:r w:rsidRPr="00F417D0">
              <w:rPr>
                <w:color w:val="000000"/>
                <w:sz w:val="24"/>
                <w:szCs w:val="24"/>
              </w:rPr>
              <w:tab/>
            </w:r>
            <w:hyperlink r:id="rId8" w:history="1">
              <w:r w:rsidRPr="00F417D0">
                <w:rPr>
                  <w:sz w:val="24"/>
                  <w:szCs w:val="24"/>
                  <w:u w:val="single"/>
                </w:rPr>
                <w:sym w:font="Wingdings" w:char="F026"/>
              </w:r>
            </w:hyperlink>
          </w:p>
          <w:p w:rsidR="00D745E7" w:rsidRPr="00F417D0" w:rsidRDefault="00D745E7" w:rsidP="00A464CD">
            <w:pPr>
              <w:rPr>
                <w:b/>
                <w:color w:val="000000"/>
                <w:sz w:val="24"/>
                <w:szCs w:val="24"/>
              </w:rPr>
            </w:pPr>
          </w:p>
        </w:tc>
      </w:tr>
    </w:tbl>
    <w:p w:rsidR="00A464CD" w:rsidRDefault="00A464CD" w:rsidP="00A464CD">
      <w:pPr>
        <w:jc w:val="center"/>
        <w:rPr>
          <w:rFonts w:eastAsia="Arial Unicode MS"/>
          <w:b/>
          <w:color w:val="000000"/>
          <w:sz w:val="24"/>
          <w:szCs w:val="24"/>
        </w:rPr>
      </w:pPr>
    </w:p>
    <w:p w:rsidR="00A464CD" w:rsidRPr="00A464CD" w:rsidRDefault="00A464CD" w:rsidP="00A464CD">
      <w:pPr>
        <w:jc w:val="center"/>
        <w:rPr>
          <w:rFonts w:eastAsia="Arial Unicode MS"/>
          <w:b/>
          <w:color w:val="000000"/>
          <w:sz w:val="24"/>
          <w:szCs w:val="24"/>
        </w:rPr>
      </w:pPr>
    </w:p>
    <w:p w:rsidR="00A464CD" w:rsidRPr="00A464CD" w:rsidRDefault="00A464CD" w:rsidP="00A464CD">
      <w:pPr>
        <w:jc w:val="center"/>
        <w:rPr>
          <w:rFonts w:eastAsia="Arial Unicode MS"/>
          <w:b/>
          <w:color w:val="000000"/>
          <w:sz w:val="24"/>
          <w:szCs w:val="24"/>
        </w:rPr>
      </w:pPr>
      <w:r w:rsidRPr="00A464CD">
        <w:rPr>
          <w:rFonts w:eastAsia="Arial Unicode MS"/>
          <w:b/>
          <w:color w:val="000000"/>
          <w:sz w:val="24"/>
          <w:szCs w:val="24"/>
        </w:rPr>
        <w:t>NOTICE</w:t>
      </w:r>
    </w:p>
    <w:p w:rsidR="00A464CD" w:rsidRPr="00A464CD" w:rsidRDefault="00A464CD" w:rsidP="00A464CD">
      <w:pPr>
        <w:jc w:val="center"/>
        <w:rPr>
          <w:rFonts w:eastAsia="Arial Unicode MS"/>
          <w:b/>
          <w:color w:val="000000"/>
          <w:sz w:val="24"/>
          <w:szCs w:val="24"/>
        </w:rPr>
      </w:pPr>
    </w:p>
    <w:p w:rsidR="00A464CD" w:rsidRPr="00A464CD" w:rsidRDefault="00A464CD" w:rsidP="00A464CD">
      <w:pPr>
        <w:jc w:val="both"/>
      </w:pPr>
      <w:r w:rsidRPr="00A464CD">
        <w:t xml:space="preserve">Le manuscrit </w:t>
      </w:r>
      <w:r w:rsidRPr="00A464CD">
        <w:rPr>
          <w:b/>
        </w:rPr>
        <w:t>n.a.f. 24 776</w:t>
      </w:r>
      <w:r w:rsidRPr="00A464CD">
        <w:t xml:space="preserve"> contient, d’une part, le </w:t>
      </w:r>
      <w:r w:rsidRPr="00A464CD">
        <w:rPr>
          <w:bCs/>
        </w:rPr>
        <w:t>"</w:t>
      </w:r>
      <w:r w:rsidRPr="00A464CD">
        <w:t>Reliquat</w:t>
      </w:r>
      <w:r w:rsidRPr="00A464CD">
        <w:rPr>
          <w:bCs/>
        </w:rPr>
        <w:t xml:space="preserve">" </w:t>
      </w:r>
      <w:r w:rsidRPr="00A464CD">
        <w:rPr>
          <w:bCs/>
          <w:i/>
        </w:rPr>
        <w:t>lato sensu</w:t>
      </w:r>
      <w:r w:rsidRPr="00A464CD">
        <w:t xml:space="preserve"> de </w:t>
      </w:r>
      <w:r w:rsidRPr="00A464CD">
        <w:rPr>
          <w:i/>
        </w:rPr>
        <w:t>William Shakespeare</w:t>
      </w:r>
      <w:r w:rsidRPr="00A464CD">
        <w:t xml:space="preserve"> et, d’autre part, des documents – essentiellement des correspondances – en rapport avec cet ouvrage. En raison de son volume, nous avons découpé la présente transcription du manuscrit en deux. </w:t>
      </w:r>
    </w:p>
    <w:p w:rsidR="00A464CD" w:rsidRPr="00A464CD" w:rsidRDefault="00A464CD" w:rsidP="00A464CD">
      <w:pPr>
        <w:jc w:val="both"/>
      </w:pPr>
    </w:p>
    <w:p w:rsidR="00A464CD" w:rsidRPr="00A464CD" w:rsidRDefault="00A464CD" w:rsidP="00A464CD">
      <w:pPr>
        <w:jc w:val="both"/>
        <w:rPr>
          <w:bCs/>
        </w:rPr>
      </w:pPr>
      <w:r w:rsidRPr="00A464CD">
        <w:t xml:space="preserve">La première partie occupe les f° 0 à 522. Elle est composé (1) de dix textes dont sept factices </w:t>
      </w:r>
      <w:r w:rsidRPr="00A464CD">
        <w:rPr>
          <w:bCs/>
        </w:rPr>
        <w:t xml:space="preserve">et (2) de Notes de travail. </w:t>
      </w:r>
    </w:p>
    <w:p w:rsidR="00A464CD" w:rsidRPr="00A464CD" w:rsidRDefault="00A464CD" w:rsidP="00A464CD">
      <w:pPr>
        <w:jc w:val="both"/>
        <w:rPr>
          <w:bCs/>
        </w:rPr>
      </w:pPr>
    </w:p>
    <w:p w:rsidR="00A464CD" w:rsidRPr="00A464CD" w:rsidRDefault="00A464CD" w:rsidP="00A464CD">
      <w:pPr>
        <w:jc w:val="center"/>
        <w:rPr>
          <w:bCs/>
        </w:rPr>
      </w:pPr>
      <w:r w:rsidRPr="00A464CD">
        <w:rPr>
          <w:bCs/>
        </w:rPr>
        <w:t>*</w:t>
      </w:r>
    </w:p>
    <w:p w:rsidR="00A464CD" w:rsidRPr="00A464CD" w:rsidRDefault="00A464CD" w:rsidP="00A464CD">
      <w:pPr>
        <w:jc w:val="center"/>
        <w:rPr>
          <w:bCs/>
        </w:rPr>
      </w:pPr>
      <w:r w:rsidRPr="00A464CD">
        <w:rPr>
          <w:bCs/>
        </w:rPr>
        <w:t>*         *</w:t>
      </w:r>
    </w:p>
    <w:p w:rsidR="00A464CD" w:rsidRPr="00A464CD" w:rsidRDefault="00A464CD" w:rsidP="00A464CD">
      <w:pPr>
        <w:jc w:val="both"/>
        <w:rPr>
          <w:bCs/>
        </w:rPr>
      </w:pPr>
    </w:p>
    <w:p w:rsidR="00A464CD" w:rsidRPr="00A464CD" w:rsidRDefault="00A464CD" w:rsidP="00A464CD">
      <w:pPr>
        <w:jc w:val="both"/>
        <w:rPr>
          <w:bCs/>
        </w:rPr>
      </w:pPr>
      <w:r w:rsidRPr="00A464CD">
        <w:rPr>
          <w:bCs/>
        </w:rPr>
        <w:t xml:space="preserve">Les </w:t>
      </w:r>
      <w:r w:rsidRPr="00A464CD">
        <w:rPr>
          <w:b/>
          <w:bCs/>
          <w:i/>
        </w:rPr>
        <w:t xml:space="preserve">dix textes </w:t>
      </w:r>
      <w:r w:rsidRPr="00A464CD">
        <w:rPr>
          <w:bCs/>
        </w:rPr>
        <w:t>(</w:t>
      </w:r>
      <w:r w:rsidR="000501D8">
        <w:rPr>
          <w:bCs/>
        </w:rPr>
        <w:t xml:space="preserve">regroupés, selon leurs éditeurs, sont les titres de : </w:t>
      </w:r>
      <w:r w:rsidRPr="00A464CD">
        <w:rPr>
          <w:bCs/>
        </w:rPr>
        <w:t xml:space="preserve">"Reliquat" </w:t>
      </w:r>
      <w:r w:rsidRPr="00A464CD">
        <w:rPr>
          <w:bCs/>
          <w:i/>
        </w:rPr>
        <w:t>stricto sensu,</w:t>
      </w:r>
      <w:r w:rsidRPr="00A464CD">
        <w:rPr>
          <w:bCs/>
        </w:rPr>
        <w:t xml:space="preserve"> "Marges", "Reliquat-Marges", "</w:t>
      </w:r>
      <w:r w:rsidRPr="00A464CD">
        <w:t>Fragments réservés</w:t>
      </w:r>
      <w:r w:rsidRPr="00A464CD">
        <w:rPr>
          <w:bCs/>
        </w:rPr>
        <w:t xml:space="preserve">" du </w:t>
      </w:r>
      <w:r w:rsidRPr="00A464CD">
        <w:rPr>
          <w:bCs/>
          <w:i/>
        </w:rPr>
        <w:t>William Shakespeare</w:t>
      </w:r>
      <w:r w:rsidRPr="00A464CD">
        <w:rPr>
          <w:bCs/>
        </w:rPr>
        <w:t xml:space="preserve">, </w:t>
      </w:r>
      <w:r w:rsidR="00FF19DD">
        <w:rPr>
          <w:bCs/>
        </w:rPr>
        <w:t>voire</w:t>
      </w:r>
      <w:r w:rsidRPr="00A464CD">
        <w:rPr>
          <w:bCs/>
        </w:rPr>
        <w:t xml:space="preserve"> même "Proses philosophiques de 1860-1865") peuvent être classés en deux catégories : les </w:t>
      </w:r>
      <w:r w:rsidRPr="00043C7A">
        <w:rPr>
          <w:bCs/>
        </w:rPr>
        <w:t>textes homogènes</w:t>
      </w:r>
      <w:r w:rsidRPr="00A464CD">
        <w:rPr>
          <w:bCs/>
        </w:rPr>
        <w:t xml:space="preserve"> </w:t>
      </w:r>
      <w:r w:rsidRPr="00A464CD">
        <w:t xml:space="preserve">et les textes </w:t>
      </w:r>
      <w:r w:rsidRPr="00A464CD">
        <w:rPr>
          <w:bCs/>
        </w:rPr>
        <w:t>factices.</w:t>
      </w:r>
    </w:p>
    <w:p w:rsidR="00A464CD" w:rsidRPr="00A464CD" w:rsidRDefault="00A464CD" w:rsidP="00A464CD">
      <w:pPr>
        <w:jc w:val="both"/>
        <w:rPr>
          <w:bCs/>
        </w:rPr>
      </w:pPr>
      <w:r w:rsidRPr="00A464CD">
        <w:rPr>
          <w:bCs/>
        </w:rPr>
        <w:t xml:space="preserve">Les </w:t>
      </w:r>
      <w:r w:rsidR="00FF19DD">
        <w:rPr>
          <w:bCs/>
        </w:rPr>
        <w:t xml:space="preserve">trois </w:t>
      </w:r>
      <w:r w:rsidR="00043C7A" w:rsidRPr="00043C7A">
        <w:rPr>
          <w:b/>
          <w:bCs/>
          <w:i/>
        </w:rPr>
        <w:t>textes homogènes</w:t>
      </w:r>
      <w:r w:rsidRPr="00A464CD">
        <w:rPr>
          <w:bCs/>
        </w:rPr>
        <w:t xml:space="preserve"> (</w:t>
      </w:r>
      <w:r w:rsidRPr="00A464CD">
        <w:t>[</w:t>
      </w:r>
      <w:r w:rsidRPr="00FF19DD">
        <w:rPr>
          <w:i/>
        </w:rPr>
        <w:t xml:space="preserve">A Reims ou </w:t>
      </w:r>
      <w:r w:rsidRPr="00FF19DD">
        <w:rPr>
          <w:bCs/>
          <w:i/>
        </w:rPr>
        <w:t>Shakespeare et le sacre de Charles X</w:t>
      </w:r>
      <w:r w:rsidRPr="00A464CD">
        <w:rPr>
          <w:bCs/>
        </w:rPr>
        <w:t xml:space="preserve">] ; </w:t>
      </w:r>
      <w:r w:rsidRPr="00FF19DD">
        <w:rPr>
          <w:bCs/>
          <w:i/>
        </w:rPr>
        <w:t>Beethoven</w:t>
      </w:r>
      <w:r w:rsidRPr="00A464CD">
        <w:rPr>
          <w:bCs/>
        </w:rPr>
        <w:t xml:space="preserve"> ; </w:t>
      </w:r>
      <w:r w:rsidRPr="00FF19DD">
        <w:rPr>
          <w:i/>
        </w:rPr>
        <w:t>La Bible - L’Angleterre</w:t>
      </w:r>
      <w:r w:rsidRPr="00A464CD">
        <w:t xml:space="preserve">) </w:t>
      </w:r>
      <w:r w:rsidR="00055BEC">
        <w:t xml:space="preserve">offre une parfaite unité et leur analyse ne présente guère de difficulté. </w:t>
      </w:r>
      <w:r w:rsidRPr="00A464CD">
        <w:t xml:space="preserve"> </w:t>
      </w:r>
    </w:p>
    <w:p w:rsidR="00A464CD" w:rsidRPr="00A464CD" w:rsidRDefault="00FF19DD" w:rsidP="00A464CD">
      <w:pPr>
        <w:jc w:val="both"/>
      </w:pPr>
      <w:r>
        <w:rPr>
          <w:bCs/>
        </w:rPr>
        <w:t xml:space="preserve">Les sept </w:t>
      </w:r>
      <w:r w:rsidRPr="00CA616F">
        <w:rPr>
          <w:b/>
          <w:bCs/>
          <w:i/>
        </w:rPr>
        <w:t>textes factices</w:t>
      </w:r>
      <w:r>
        <w:rPr>
          <w:bCs/>
        </w:rPr>
        <w:t xml:space="preserve"> </w:t>
      </w:r>
      <w:r w:rsidR="00A464CD" w:rsidRPr="00A464CD">
        <w:rPr>
          <w:bCs/>
        </w:rPr>
        <w:t xml:space="preserve">derniers sont constitués de fragments (nous écrirons quelquefois </w:t>
      </w:r>
      <w:r w:rsidR="00A464CD" w:rsidRPr="00A464CD">
        <w:rPr>
          <w:b/>
          <w:bCs/>
          <w:i/>
        </w:rPr>
        <w:t>sections</w:t>
      </w:r>
      <w:r w:rsidR="00A464CD" w:rsidRPr="00A464CD">
        <w:rPr>
          <w:bCs/>
        </w:rPr>
        <w:t xml:space="preserve">) regroupés par thème, par les premiers éditeurs, Paul Meurice et Gustave Simon. Leur reconstruction est fragile. Nous verrons </w:t>
      </w:r>
      <w:r w:rsidR="00A464CD" w:rsidRPr="00A464CD">
        <w:t>qu</w:t>
      </w:r>
      <w:r w:rsidR="00CA616F">
        <w:t>e les éditeurs</w:t>
      </w:r>
      <w:r w:rsidR="00A464CD" w:rsidRPr="00A464CD">
        <w:t xml:space="preserve"> ont quelquefois hésité quant à la place de tel ou tel fragment au sein d’un texte factice, voire même quant à l’inclusion d’un fragment dans un texte plutôt que dans un autre ; et puis nous regretterons qu’ils n’aient pas toujours tenu suffisamment compte des </w:t>
      </w:r>
      <w:r w:rsidR="00A464CD" w:rsidRPr="00A464CD">
        <w:rPr>
          <w:bCs/>
        </w:rPr>
        <w:t xml:space="preserve">différences de graphies qui </w:t>
      </w:r>
      <w:r w:rsidR="00A464CD" w:rsidRPr="00A464CD">
        <w:t xml:space="preserve">traduisent pourtant des moments différents de rédaction. </w:t>
      </w:r>
    </w:p>
    <w:p w:rsidR="00A464CD" w:rsidRPr="00A464CD" w:rsidRDefault="00A464CD" w:rsidP="00A464CD">
      <w:pPr>
        <w:jc w:val="both"/>
      </w:pPr>
      <w:r w:rsidRPr="00A464CD">
        <w:t xml:space="preserve">La plupart des titres ont été ajoutés par les éditeurs, d’autres ont été trouvés dans les papiers de Victor Hugo, sans qu’on puisse précisément déterminer le champ de leur validité.   </w:t>
      </w:r>
    </w:p>
    <w:p w:rsidR="00A464CD" w:rsidRPr="00A464CD" w:rsidRDefault="00A464CD" w:rsidP="00A464CD">
      <w:pPr>
        <w:jc w:val="both"/>
        <w:rPr>
          <w:bCs/>
        </w:rPr>
      </w:pPr>
      <w:r w:rsidRPr="00A464CD">
        <w:rPr>
          <w:bCs/>
        </w:rPr>
        <w:t>Ces dix textes offrent de nombreux caractères communs relevés par René Journet et Guy Robert (</w:t>
      </w:r>
      <w:r w:rsidRPr="00A464CD">
        <w:rPr>
          <w:bCs/>
          <w:i/>
        </w:rPr>
        <w:t>Promotorium Sommni</w:t>
      </w:r>
      <w:r w:rsidRPr="00A464CD">
        <w:rPr>
          <w:bCs/>
        </w:rPr>
        <w:t xml:space="preserve">, éd. critique 1961, p. 65) : </w:t>
      </w:r>
      <w:r w:rsidRPr="00A464CD">
        <w:t xml:space="preserve">"Le papier, bleu, épais et glacé [que nous désignerons : </w:t>
      </w:r>
      <w:r w:rsidRPr="00A464CD">
        <w:rPr>
          <w:bCs/>
        </w:rPr>
        <w:t>"</w:t>
      </w:r>
      <w:r w:rsidRPr="00A464CD">
        <w:rPr>
          <w:b/>
          <w:bCs/>
          <w:i/>
        </w:rPr>
        <w:t>papier WS</w:t>
      </w:r>
      <w:r w:rsidRPr="00A464CD">
        <w:rPr>
          <w:bCs/>
        </w:rPr>
        <w:t xml:space="preserve">"] est le même et les mêmes graphies apparaissent dans l’ouvrage et dans le </w:t>
      </w:r>
      <w:r w:rsidRPr="00A464CD">
        <w:rPr>
          <w:bCs/>
          <w:i/>
        </w:rPr>
        <w:t>Reliquat.</w:t>
      </w:r>
      <w:r w:rsidRPr="00A464CD">
        <w:rPr>
          <w:bCs/>
        </w:rPr>
        <w:t xml:space="preserve"> En particulier, on trouve de part et d’autre des additions marginales d’une même écriture fine et d’une encre plus pâle qui est celle de la mention de la date : </w:t>
      </w:r>
      <w:r w:rsidR="007D465B">
        <w:rPr>
          <w:bCs/>
        </w:rPr>
        <w:t>‘</w:t>
      </w:r>
      <w:r w:rsidRPr="007D465B">
        <w:rPr>
          <w:bCs/>
          <w:i/>
        </w:rPr>
        <w:t>H. H. fini le Xbre</w:t>
      </w:r>
      <w:r w:rsidRPr="007D465B">
        <w:rPr>
          <w:i/>
        </w:rPr>
        <w:t xml:space="preserve"> 1863   tempête</w:t>
      </w:r>
      <w:r w:rsidR="007D465B">
        <w:t>’</w:t>
      </w:r>
      <w:r w:rsidRPr="00A464CD">
        <w:t xml:space="preserve">. </w:t>
      </w:r>
      <w:r w:rsidRPr="00A464CD">
        <w:rPr>
          <w:bCs/>
        </w:rPr>
        <w:t>[…] Dans l’apparat critique, ces dernières additions sont distinguées par le sigle (D)</w:t>
      </w:r>
      <w:r w:rsidRPr="00A464CD">
        <w:t>"</w:t>
      </w:r>
      <w:r w:rsidRPr="00A464CD">
        <w:rPr>
          <w:bCs/>
        </w:rPr>
        <w:t xml:space="preserve">. </w:t>
      </w:r>
      <w:r w:rsidR="00CA616F">
        <w:rPr>
          <w:bCs/>
        </w:rPr>
        <w:t>NB : nous avons</w:t>
      </w:r>
      <w:r w:rsidR="007D465B">
        <w:rPr>
          <w:bCs/>
        </w:rPr>
        <w:t xml:space="preserve"> cherché, dans notre propre appareil critique, à repérer ces additions marginales particulières et les avons signalées par le même sigle </w:t>
      </w:r>
      <w:r w:rsidR="007D465B" w:rsidRPr="007D465B">
        <w:rPr>
          <w:b/>
          <w:bCs/>
        </w:rPr>
        <w:t>(D)</w:t>
      </w:r>
      <w:r w:rsidR="007D465B">
        <w:rPr>
          <w:bCs/>
        </w:rPr>
        <w:t xml:space="preserve">. </w:t>
      </w:r>
      <w:r w:rsidRPr="00A464CD">
        <w:rPr>
          <w:bCs/>
        </w:rPr>
        <w:t xml:space="preserve">Ces constations autorisent à dater les additions marginales de la fin 1863 et les mises au net des fragments de textes de l’année 1863. </w:t>
      </w:r>
    </w:p>
    <w:p w:rsidR="00A464CD" w:rsidRPr="00A464CD" w:rsidRDefault="00A464CD" w:rsidP="00A464CD">
      <w:pPr>
        <w:jc w:val="both"/>
      </w:pPr>
      <w:r w:rsidRPr="00A464CD">
        <w:t xml:space="preserve">Ces textes ont donc été composés à l’époque de la rédaction de </w:t>
      </w:r>
      <w:r w:rsidRPr="00A464CD">
        <w:rPr>
          <w:i/>
        </w:rPr>
        <w:t>William Shakespeare</w:t>
      </w:r>
      <w:r w:rsidRPr="00A464CD">
        <w:t>. Etaient-ils destinés à intégrer cette œuvr</w:t>
      </w:r>
      <w:r w:rsidR="007D465B">
        <w:t>e ? N</w:t>
      </w:r>
      <w:r w:rsidRPr="00A464CD">
        <w:t>ous pouvons supposer qu</w:t>
      </w:r>
      <w:r w:rsidR="007D465B">
        <w:t xml:space="preserve">e les trois textes </w:t>
      </w:r>
      <w:r w:rsidR="007D465B" w:rsidRPr="001D6816">
        <w:rPr>
          <w:i/>
        </w:rPr>
        <w:t>homogènes</w:t>
      </w:r>
      <w:r w:rsidRPr="00A464CD">
        <w:t xml:space="preserve"> "sont tombés" du </w:t>
      </w:r>
      <w:r w:rsidRPr="00A464CD">
        <w:rPr>
          <w:i/>
        </w:rPr>
        <w:t>William Shakespeare,</w:t>
      </w:r>
      <w:r w:rsidRPr="00A464CD">
        <w:t xml:space="preserve"> </w:t>
      </w:r>
      <w:r w:rsidR="001D6816">
        <w:t xml:space="preserve">de même </w:t>
      </w:r>
      <w:r w:rsidRPr="00A464CD">
        <w:t>certains fragments de texte</w:t>
      </w:r>
      <w:r w:rsidR="001D6816">
        <w:t xml:space="preserve">s </w:t>
      </w:r>
      <w:r w:rsidR="001D6816" w:rsidRPr="001D6816">
        <w:rPr>
          <w:i/>
        </w:rPr>
        <w:t>factices</w:t>
      </w:r>
      <w:r w:rsidRPr="00A464CD">
        <w:t xml:space="preserve"> ; soit qu’ils aient, les uns et les autres, été retirés pour alléger un développement, soit, qu’au dernier moment, ils </w:t>
      </w:r>
      <w:r w:rsidR="001D6816">
        <w:t>n’</w:t>
      </w:r>
      <w:r w:rsidRPr="00A464CD">
        <w:t xml:space="preserve">aient pas été retenus </w:t>
      </w:r>
      <w:r w:rsidR="001D6816" w:rsidRPr="00A464CD">
        <w:t>p</w:t>
      </w:r>
      <w:r w:rsidR="001D6816">
        <w:t xml:space="preserve">arce que constituant une </w:t>
      </w:r>
      <w:r w:rsidR="001D6816">
        <w:lastRenderedPageBreak/>
        <w:t>digression par trop éloignée du thème central.</w:t>
      </w:r>
      <w:r w:rsidRPr="00A464CD">
        <w:t xml:space="preserve"> Mais pour l’essentiel – à savoir les sept textes </w:t>
      </w:r>
      <w:r w:rsidRPr="00A464CD">
        <w:rPr>
          <w:i/>
        </w:rPr>
        <w:t>factices</w:t>
      </w:r>
      <w:r w:rsidRPr="00A464CD">
        <w:t xml:space="preserve"> – le rapport avec l’œuvre en gestation apparait plus que tenu. Yves Gohin nous invite plutôt à situer ces sept textes dans la "nébuleuse d’une œuvre dont on voit se dessiner le projet sous le titre </w:t>
      </w:r>
      <w:r w:rsidRPr="00A464CD">
        <w:rPr>
          <w:i/>
        </w:rPr>
        <w:t>L’Ame</w:t>
      </w:r>
      <w:r w:rsidRPr="00A464CD">
        <w:t xml:space="preserve"> ou sous le titre </w:t>
      </w:r>
      <w:r w:rsidRPr="00A464CD">
        <w:rPr>
          <w:i/>
        </w:rPr>
        <w:t>Préface de mes œuvres et post-scriptum de ma vie.</w:t>
      </w:r>
      <w:r w:rsidRPr="00A464CD">
        <w:t xml:space="preserve"> Hugo tente d’élaborer entre 1860 et 1865 une somme de sa pensée, le testament de sa philosophie". A ces textes contemporains de la rédaction de </w:t>
      </w:r>
      <w:r w:rsidRPr="00A464CD">
        <w:rPr>
          <w:i/>
        </w:rPr>
        <w:t>William Shakespeare</w:t>
      </w:r>
      <w:r w:rsidRPr="00A464CD">
        <w:t xml:space="preserve"> (1863-1864), Yves Gohin, ajoute deux textes écrits durant l’achèvement des </w:t>
      </w:r>
      <w:r w:rsidRPr="00A464CD">
        <w:rPr>
          <w:i/>
        </w:rPr>
        <w:t>Misérables</w:t>
      </w:r>
      <w:r w:rsidRPr="00A464CD">
        <w:t xml:space="preserve"> (1860-1862) et trois textes conçus pendant la gestation des </w:t>
      </w:r>
      <w:r w:rsidRPr="00A464CD">
        <w:rPr>
          <w:i/>
        </w:rPr>
        <w:t>Travailleurs de la mer</w:t>
      </w:r>
      <w:r w:rsidRPr="00A464CD">
        <w:t xml:space="preserve"> (1865-1866) ; il obtient ainsi un ensemble qu’il baptise : </w:t>
      </w:r>
      <w:r w:rsidRPr="00A464CD">
        <w:rPr>
          <w:i/>
        </w:rPr>
        <w:t>Proses philosophiques de 1860-1865.</w:t>
      </w:r>
      <w:r w:rsidRPr="00A464CD">
        <w:t xml:space="preserve"> Ensemble significatif riche de perspectives philosophiques, politiques et sociales ; ensemble qu’il convient de visiter et de revisiter car il cèle certaines des clés de l’œuvre hugolienne. Cf. Gohin (Yves) éd. de </w:t>
      </w:r>
      <w:r w:rsidRPr="00A464CD">
        <w:rPr>
          <w:i/>
        </w:rPr>
        <w:t>Proses philosophiques de 1860-1865,</w:t>
      </w:r>
      <w:r w:rsidRPr="00A464CD">
        <w:t xml:space="preserve"> in éd. Seebacher-Rosa 1985, vol. </w:t>
      </w:r>
      <w:r w:rsidRPr="00A464CD">
        <w:rPr>
          <w:i/>
        </w:rPr>
        <w:t>Critique</w:t>
      </w:r>
      <w:r w:rsidRPr="00A464CD">
        <w:t xml:space="preserve">, Notice, pp. 748-749.  </w:t>
      </w:r>
    </w:p>
    <w:p w:rsidR="00A464CD" w:rsidRPr="00A464CD" w:rsidRDefault="00A464CD" w:rsidP="00A464CD">
      <w:pPr>
        <w:jc w:val="both"/>
      </w:pPr>
    </w:p>
    <w:p w:rsidR="00A464CD" w:rsidRPr="00A464CD" w:rsidRDefault="00A464CD" w:rsidP="00A464CD">
      <w:pPr>
        <w:jc w:val="both"/>
      </w:pPr>
      <w:r w:rsidRPr="00A464CD">
        <w:t>Paul Meurice et Gustave Simon établirent les textes factices, en 1937 (</w:t>
      </w:r>
      <w:r w:rsidRPr="00A464CD">
        <w:rPr>
          <w:i/>
        </w:rPr>
        <w:t>William Shakespeare. - Post-scriptum de ma vie</w:t>
      </w:r>
      <w:r w:rsidRPr="00A464CD">
        <w:t xml:space="preserve"> – Paris : Albin Michel ; imprimé par l'Imprimerie nationale ; édité par la Librairie Ollendorff, 1937, [6]-659-[2] pp., dont 6 + 3 ff. de pl.), portr. ; 28 cm – Cf. pp. 250-388 (</w:t>
      </w:r>
      <w:hyperlink r:id="rId9" w:history="1">
        <w:r w:rsidRPr="00A464CD">
          <w:rPr>
            <w:color w:val="0563C1" w:themeColor="hyperlink"/>
            <w:u w:val="single"/>
          </w:rPr>
          <w:sym w:font="Wingdings" w:char="F026"/>
        </w:r>
      </w:hyperlink>
      <w:r w:rsidRPr="00A464CD">
        <w:t>). Leur reconstitution fut reprise par les éditeurs successifs ; seul a pu varier l’agencement des textes. Dans le tableau n° 1, nous avons présenté la table des matières de quatre éditions, outre celle dite de l’Imprimerie nationale</w:t>
      </w:r>
      <w:r w:rsidR="00670952">
        <w:t> : (</w:t>
      </w:r>
      <w:hyperlink r:id="rId10" w:history="1">
        <w:r w:rsidR="00670952" w:rsidRPr="00043C7A">
          <w:rPr>
            <w:rStyle w:val="Lienhypertexte"/>
          </w:rPr>
          <w:sym w:font="Wingdings" w:char="F026"/>
        </w:r>
      </w:hyperlink>
      <w:r w:rsidR="00670952">
        <w:t>)</w:t>
      </w:r>
      <w:r w:rsidRPr="00A464CD">
        <w:t>.</w:t>
      </w:r>
    </w:p>
    <w:p w:rsidR="00A464CD" w:rsidRPr="00A464CD" w:rsidRDefault="00A464CD" w:rsidP="00A464CD">
      <w:pPr>
        <w:jc w:val="both"/>
      </w:pPr>
      <w:r w:rsidRPr="00A464CD">
        <w:t xml:space="preserve">La présente édition ne relève que quelques erreurs de lecture de la part des éditeurs précédents. </w:t>
      </w:r>
      <w:r w:rsidR="008E2428">
        <w:t xml:space="preserve">Ces erreurs ont été </w:t>
      </w:r>
      <w:r w:rsidRPr="00A464CD">
        <w:t xml:space="preserve"> décelées</w:t>
      </w:r>
      <w:r w:rsidR="008E2428">
        <w:t xml:space="preserve"> – puis corrigées -</w:t>
      </w:r>
      <w:r w:rsidRPr="00A464CD">
        <w:t xml:space="preserve"> suite à un retour aux "sources" de Victor Hugo. </w:t>
      </w:r>
    </w:p>
    <w:p w:rsidR="00A464CD" w:rsidRPr="00A464CD" w:rsidRDefault="00A464CD" w:rsidP="00A464CD">
      <w:pPr>
        <w:jc w:val="both"/>
        <w:rPr>
          <w:sz w:val="16"/>
          <w:szCs w:val="16"/>
        </w:rPr>
      </w:pPr>
      <w:r w:rsidRPr="00A464CD">
        <w:rPr>
          <w:sz w:val="16"/>
          <w:szCs w:val="16"/>
        </w:rPr>
        <w:t xml:space="preserve">Signalons, les principales corrections proposées : f° 28 ("Le Goût") : rétablissement de quelques mots oubliés ; f° 32 ("Le Goût") : </w:t>
      </w:r>
      <w:r w:rsidRPr="00A464CD">
        <w:rPr>
          <w:i/>
          <w:sz w:val="16"/>
          <w:szCs w:val="16"/>
        </w:rPr>
        <w:t>pesage</w:t>
      </w:r>
      <w:r w:rsidRPr="00A464CD">
        <w:rPr>
          <w:sz w:val="16"/>
          <w:szCs w:val="16"/>
        </w:rPr>
        <w:t xml:space="preserve"> au lieu de </w:t>
      </w:r>
      <w:r w:rsidRPr="00A464CD">
        <w:rPr>
          <w:i/>
          <w:sz w:val="16"/>
          <w:szCs w:val="16"/>
        </w:rPr>
        <w:t>péage</w:t>
      </w:r>
      <w:r w:rsidRPr="00A464CD">
        <w:rPr>
          <w:sz w:val="16"/>
          <w:szCs w:val="16"/>
        </w:rPr>
        <w:t xml:space="preserve"> ; f° 38 ("Le Goût") : </w:t>
      </w:r>
      <w:r w:rsidRPr="00A464CD">
        <w:rPr>
          <w:i/>
          <w:sz w:val="16"/>
          <w:szCs w:val="16"/>
        </w:rPr>
        <w:t>Néron</w:t>
      </w:r>
      <w:r w:rsidRPr="00A464CD">
        <w:rPr>
          <w:sz w:val="16"/>
          <w:szCs w:val="16"/>
        </w:rPr>
        <w:t xml:space="preserve"> au lieu de </w:t>
      </w:r>
      <w:r w:rsidRPr="00A464CD">
        <w:rPr>
          <w:i/>
          <w:sz w:val="16"/>
          <w:szCs w:val="16"/>
        </w:rPr>
        <w:t>Vitellius</w:t>
      </w:r>
      <w:r w:rsidRPr="00A464CD">
        <w:rPr>
          <w:sz w:val="16"/>
          <w:szCs w:val="16"/>
        </w:rPr>
        <w:t xml:space="preserve"> ; f° 38 ("Le Goût") : </w:t>
      </w:r>
      <w:r w:rsidRPr="00A464CD">
        <w:rPr>
          <w:i/>
          <w:sz w:val="16"/>
          <w:szCs w:val="16"/>
        </w:rPr>
        <w:t>Anvers</w:t>
      </w:r>
      <w:r w:rsidRPr="00A464CD">
        <w:rPr>
          <w:sz w:val="16"/>
          <w:szCs w:val="16"/>
        </w:rPr>
        <w:t xml:space="preserve"> au lieu d’</w:t>
      </w:r>
      <w:r w:rsidRPr="00A464CD">
        <w:rPr>
          <w:i/>
          <w:sz w:val="16"/>
          <w:szCs w:val="16"/>
        </w:rPr>
        <w:t>Angers</w:t>
      </w:r>
      <w:r w:rsidRPr="00A464CD">
        <w:rPr>
          <w:sz w:val="16"/>
          <w:szCs w:val="16"/>
        </w:rPr>
        <w:t xml:space="preserve"> ; f° 73 ("Les génies appartenant au peuple") : </w:t>
      </w:r>
      <w:r w:rsidRPr="00A464CD">
        <w:rPr>
          <w:i/>
          <w:sz w:val="16"/>
          <w:szCs w:val="16"/>
        </w:rPr>
        <w:t>dans</w:t>
      </w:r>
      <w:r w:rsidRPr="00A464CD">
        <w:rPr>
          <w:sz w:val="16"/>
          <w:szCs w:val="16"/>
        </w:rPr>
        <w:t xml:space="preserve"> au lieu de </w:t>
      </w:r>
      <w:r w:rsidRPr="00A464CD">
        <w:rPr>
          <w:i/>
          <w:sz w:val="16"/>
          <w:szCs w:val="16"/>
        </w:rPr>
        <w:t>vers</w:t>
      </w:r>
      <w:r w:rsidRPr="00A464CD">
        <w:rPr>
          <w:sz w:val="16"/>
          <w:szCs w:val="16"/>
        </w:rPr>
        <w:t xml:space="preserve"> ; f° 82 ("Les génies appartenant au peuple") : réintroduction de </w:t>
      </w:r>
      <w:r w:rsidRPr="00A464CD">
        <w:rPr>
          <w:i/>
          <w:sz w:val="16"/>
          <w:szCs w:val="16"/>
        </w:rPr>
        <w:t>pourtant</w:t>
      </w:r>
      <w:r w:rsidRPr="00A464CD">
        <w:rPr>
          <w:sz w:val="16"/>
          <w:szCs w:val="16"/>
        </w:rPr>
        <w:t> ; f° 83 ("Les génies appartenant au peuple") :</w:t>
      </w:r>
      <w:r w:rsidRPr="00A464CD">
        <w:rPr>
          <w:i/>
          <w:sz w:val="16"/>
          <w:szCs w:val="16"/>
        </w:rPr>
        <w:t xml:space="preserve"> les Alpes, les Andes, les Cordillères</w:t>
      </w:r>
      <w:r w:rsidRPr="00A464CD">
        <w:rPr>
          <w:sz w:val="16"/>
          <w:szCs w:val="16"/>
        </w:rPr>
        <w:t xml:space="preserve"> au lieu de </w:t>
      </w:r>
      <w:r w:rsidRPr="00A464CD">
        <w:rPr>
          <w:i/>
          <w:sz w:val="16"/>
          <w:szCs w:val="16"/>
        </w:rPr>
        <w:t>les Alpes, les Cordillères des Andes </w:t>
      </w:r>
      <w:r w:rsidRPr="00A464CD">
        <w:rPr>
          <w:sz w:val="16"/>
          <w:szCs w:val="16"/>
        </w:rPr>
        <w:t>; f° 147 ("</w:t>
      </w:r>
      <w:r w:rsidRPr="00A464CD">
        <w:rPr>
          <w:bCs/>
          <w:sz w:val="16"/>
          <w:szCs w:val="16"/>
        </w:rPr>
        <w:t>La Bible - L'Angleterre</w:t>
      </w:r>
      <w:r w:rsidRPr="00A464CD">
        <w:rPr>
          <w:sz w:val="16"/>
          <w:szCs w:val="16"/>
        </w:rPr>
        <w:t xml:space="preserve">") : </w:t>
      </w:r>
      <w:r w:rsidRPr="00A464CD">
        <w:rPr>
          <w:i/>
          <w:sz w:val="16"/>
          <w:szCs w:val="16"/>
        </w:rPr>
        <w:t>Zoroastre</w:t>
      </w:r>
      <w:r w:rsidRPr="00A464CD">
        <w:rPr>
          <w:sz w:val="16"/>
          <w:szCs w:val="16"/>
        </w:rPr>
        <w:t xml:space="preserve"> au lieu de </w:t>
      </w:r>
      <w:r w:rsidRPr="00A464CD">
        <w:rPr>
          <w:i/>
          <w:sz w:val="16"/>
          <w:szCs w:val="16"/>
        </w:rPr>
        <w:t>Ormuz</w:t>
      </w:r>
      <w:r w:rsidRPr="00A464CD">
        <w:rPr>
          <w:sz w:val="16"/>
          <w:szCs w:val="16"/>
        </w:rPr>
        <w:t xml:space="preserve"> ; </w:t>
      </w:r>
      <w:r w:rsidRPr="00A464CD">
        <w:rPr>
          <w:i/>
          <w:sz w:val="16"/>
          <w:szCs w:val="16"/>
        </w:rPr>
        <w:t>Théodoret</w:t>
      </w:r>
      <w:r w:rsidRPr="00A464CD">
        <w:rPr>
          <w:sz w:val="16"/>
          <w:szCs w:val="16"/>
        </w:rPr>
        <w:t xml:space="preserve"> au lieu de </w:t>
      </w:r>
      <w:r w:rsidRPr="00A464CD">
        <w:rPr>
          <w:i/>
          <w:sz w:val="16"/>
          <w:szCs w:val="16"/>
        </w:rPr>
        <w:t>Théodore</w:t>
      </w:r>
      <w:r w:rsidRPr="00A464CD">
        <w:rPr>
          <w:sz w:val="16"/>
          <w:szCs w:val="16"/>
        </w:rPr>
        <w:t xml:space="preserve"> ; f° 178 ("Les traducteurs") : </w:t>
      </w:r>
      <w:r w:rsidRPr="00A464CD">
        <w:rPr>
          <w:i/>
          <w:color w:val="000000"/>
          <w:sz w:val="16"/>
          <w:szCs w:val="16"/>
        </w:rPr>
        <w:t>Harpalion</w:t>
      </w:r>
      <w:r w:rsidRPr="00A464CD">
        <w:rPr>
          <w:color w:val="000000"/>
          <w:sz w:val="16"/>
          <w:szCs w:val="16"/>
        </w:rPr>
        <w:t xml:space="preserve"> au lieu de </w:t>
      </w:r>
      <w:r w:rsidRPr="00A464CD">
        <w:rPr>
          <w:i/>
          <w:color w:val="000000"/>
          <w:sz w:val="16"/>
          <w:szCs w:val="16"/>
        </w:rPr>
        <w:t>Harpaliote</w:t>
      </w:r>
      <w:r w:rsidRPr="00A464CD">
        <w:rPr>
          <w:color w:val="000000"/>
          <w:sz w:val="16"/>
          <w:szCs w:val="16"/>
        </w:rPr>
        <w:t xml:space="preserve"> ; f° 183 </w:t>
      </w:r>
      <w:r w:rsidRPr="00A464CD">
        <w:rPr>
          <w:sz w:val="16"/>
          <w:szCs w:val="16"/>
        </w:rPr>
        <w:t>("Les traducteurs")</w:t>
      </w:r>
      <w:r w:rsidR="001823F1">
        <w:rPr>
          <w:sz w:val="16"/>
          <w:szCs w:val="16"/>
        </w:rPr>
        <w:t> ;</w:t>
      </w:r>
      <w:r w:rsidRPr="00A464CD">
        <w:rPr>
          <w:sz w:val="16"/>
          <w:szCs w:val="16"/>
        </w:rPr>
        <w:t> </w:t>
      </w:r>
      <w:r w:rsidRPr="001823F1">
        <w:rPr>
          <w:i/>
          <w:sz w:val="16"/>
          <w:szCs w:val="16"/>
        </w:rPr>
        <w:t>Thrasymède</w:t>
      </w:r>
      <w:r w:rsidRPr="00A464CD">
        <w:rPr>
          <w:sz w:val="16"/>
          <w:szCs w:val="16"/>
        </w:rPr>
        <w:t xml:space="preserve"> au lieu </w:t>
      </w:r>
      <w:r w:rsidRPr="001823F1">
        <w:rPr>
          <w:i/>
          <w:sz w:val="16"/>
          <w:szCs w:val="16"/>
        </w:rPr>
        <w:t>Thrasymèle</w:t>
      </w:r>
      <w:r w:rsidRPr="00A464CD">
        <w:rPr>
          <w:sz w:val="16"/>
          <w:szCs w:val="16"/>
        </w:rPr>
        <w:t xml:space="preserve"> ;  </w:t>
      </w:r>
      <w:r w:rsidRPr="00A464CD">
        <w:rPr>
          <w:color w:val="000000"/>
          <w:sz w:val="16"/>
          <w:szCs w:val="16"/>
        </w:rPr>
        <w:t xml:space="preserve">f° 289 : </w:t>
      </w:r>
      <w:r w:rsidRPr="00A464CD">
        <w:rPr>
          <w:i/>
          <w:color w:val="000000"/>
          <w:sz w:val="16"/>
          <w:szCs w:val="16"/>
        </w:rPr>
        <w:t>Pyrilampes</w:t>
      </w:r>
      <w:r w:rsidRPr="00A464CD">
        <w:rPr>
          <w:color w:val="000000"/>
          <w:sz w:val="16"/>
          <w:szCs w:val="16"/>
        </w:rPr>
        <w:t xml:space="preserve"> au lieu de </w:t>
      </w:r>
      <w:r w:rsidRPr="00A464CD">
        <w:rPr>
          <w:i/>
          <w:color w:val="000000"/>
          <w:sz w:val="16"/>
          <w:szCs w:val="16"/>
        </w:rPr>
        <w:t>Erylampes</w:t>
      </w:r>
      <w:r w:rsidRPr="00A464CD">
        <w:rPr>
          <w:color w:val="000000"/>
          <w:sz w:val="16"/>
          <w:szCs w:val="16"/>
        </w:rPr>
        <w:t xml:space="preserve"> ; f° 437 : </w:t>
      </w:r>
      <w:r w:rsidRPr="00A464CD">
        <w:rPr>
          <w:i/>
          <w:color w:val="000000"/>
          <w:sz w:val="16"/>
          <w:szCs w:val="16"/>
        </w:rPr>
        <w:t>digues</w:t>
      </w:r>
      <w:r w:rsidRPr="00A464CD">
        <w:rPr>
          <w:color w:val="000000"/>
          <w:sz w:val="16"/>
          <w:szCs w:val="16"/>
        </w:rPr>
        <w:t xml:space="preserve"> au lieu de </w:t>
      </w:r>
      <w:r w:rsidRPr="00A464CD">
        <w:rPr>
          <w:i/>
          <w:color w:val="000000"/>
          <w:sz w:val="16"/>
          <w:szCs w:val="16"/>
        </w:rPr>
        <w:t>dogues</w:t>
      </w:r>
      <w:r w:rsidRPr="00A464CD">
        <w:rPr>
          <w:color w:val="000000"/>
          <w:sz w:val="16"/>
          <w:szCs w:val="16"/>
        </w:rPr>
        <w:t xml:space="preserve"> ; f° 442 {b} : </w:t>
      </w:r>
      <w:r w:rsidRPr="00A464CD">
        <w:rPr>
          <w:i/>
          <w:color w:val="000000"/>
          <w:sz w:val="16"/>
          <w:szCs w:val="16"/>
        </w:rPr>
        <w:t>Iris</w:t>
      </w:r>
      <w:r w:rsidRPr="00A464CD">
        <w:rPr>
          <w:color w:val="000000"/>
          <w:sz w:val="16"/>
          <w:szCs w:val="16"/>
        </w:rPr>
        <w:t xml:space="preserve"> au lieu de </w:t>
      </w:r>
      <w:r w:rsidRPr="00A464CD">
        <w:rPr>
          <w:i/>
          <w:color w:val="000000"/>
          <w:sz w:val="16"/>
          <w:szCs w:val="16"/>
        </w:rPr>
        <w:t>Isis</w:t>
      </w:r>
      <w:r w:rsidRPr="00A464CD">
        <w:rPr>
          <w:color w:val="000000"/>
          <w:sz w:val="16"/>
          <w:szCs w:val="16"/>
        </w:rPr>
        <w:t xml:space="preserve"> ; f° 451 {e} : </w:t>
      </w:r>
      <w:r w:rsidRPr="00A464CD">
        <w:rPr>
          <w:i/>
          <w:color w:val="000000"/>
          <w:sz w:val="16"/>
          <w:szCs w:val="16"/>
        </w:rPr>
        <w:t>Apollon</w:t>
      </w:r>
      <w:r w:rsidRPr="00A464CD">
        <w:rPr>
          <w:color w:val="000000"/>
          <w:sz w:val="16"/>
          <w:szCs w:val="16"/>
        </w:rPr>
        <w:t xml:space="preserve"> au lieu d’</w:t>
      </w:r>
      <w:r w:rsidRPr="00A464CD">
        <w:rPr>
          <w:i/>
          <w:color w:val="000000"/>
          <w:sz w:val="16"/>
          <w:szCs w:val="16"/>
        </w:rPr>
        <w:t>Apelle</w:t>
      </w:r>
      <w:r w:rsidR="001823F1">
        <w:rPr>
          <w:i/>
          <w:color w:val="000000"/>
          <w:sz w:val="16"/>
          <w:szCs w:val="16"/>
        </w:rPr>
        <w:t>.</w:t>
      </w:r>
      <w:r w:rsidRPr="00A464CD">
        <w:rPr>
          <w:color w:val="000000"/>
          <w:sz w:val="16"/>
          <w:szCs w:val="16"/>
        </w:rPr>
        <w:t xml:space="preserve"> </w:t>
      </w:r>
    </w:p>
    <w:p w:rsidR="00A464CD" w:rsidRPr="00A464CD" w:rsidRDefault="00A464CD" w:rsidP="00A464CD">
      <w:pPr>
        <w:jc w:val="both"/>
      </w:pPr>
    </w:p>
    <w:p w:rsidR="00A464CD" w:rsidRPr="00A464CD" w:rsidRDefault="00A464CD" w:rsidP="00A464CD">
      <w:pPr>
        <w:jc w:val="both"/>
      </w:pPr>
    </w:p>
    <w:p w:rsidR="00A464CD" w:rsidRPr="00A464CD" w:rsidRDefault="00A464CD" w:rsidP="00A464CD">
      <w:pPr>
        <w:jc w:val="center"/>
      </w:pPr>
      <w:r w:rsidRPr="00A464CD">
        <w:t>*</w:t>
      </w:r>
    </w:p>
    <w:p w:rsidR="00A464CD" w:rsidRPr="00A464CD" w:rsidRDefault="00A464CD" w:rsidP="00A464CD">
      <w:pPr>
        <w:jc w:val="center"/>
      </w:pPr>
    </w:p>
    <w:p w:rsidR="00A464CD" w:rsidRPr="00A464CD" w:rsidRDefault="00A464CD" w:rsidP="00A464CD">
      <w:pPr>
        <w:jc w:val="both"/>
      </w:pPr>
      <w:r w:rsidRPr="00A464CD">
        <w:rPr>
          <w:b/>
          <w:highlight w:val="yellow"/>
        </w:rPr>
        <w:t>24 776 f° 3-18</w:t>
      </w:r>
      <w:r w:rsidRPr="00A464CD">
        <w:rPr>
          <w:b/>
        </w:rPr>
        <w:t> :</w:t>
      </w:r>
      <w:r w:rsidRPr="00A464CD">
        <w:t xml:space="preserve"> </w:t>
      </w:r>
      <w:r w:rsidRPr="00A464CD">
        <w:rPr>
          <w:b/>
        </w:rPr>
        <w:t xml:space="preserve">[A Reims]. </w:t>
      </w:r>
      <w:r w:rsidRPr="00A464CD">
        <w:rPr>
          <w:b/>
          <w:bCs/>
        </w:rPr>
        <w:t>[Shakespeare et le sacre de Charles X]</w:t>
      </w:r>
      <w:r w:rsidRPr="00A464CD">
        <w:rPr>
          <w:bCs/>
        </w:rPr>
        <w:t>.</w:t>
      </w:r>
      <w:r w:rsidRPr="00A464CD">
        <w:rPr>
          <w:b/>
          <w:bCs/>
        </w:rPr>
        <w:t xml:space="preserve"> </w:t>
      </w:r>
    </w:p>
    <w:p w:rsidR="00A464CD" w:rsidRPr="00A464CD" w:rsidRDefault="00A464CD" w:rsidP="00A464CD">
      <w:pPr>
        <w:jc w:val="both"/>
      </w:pPr>
      <w:r w:rsidRPr="00A464CD">
        <w:t xml:space="preserve">Ce texte – un des trois textes </w:t>
      </w:r>
      <w:r w:rsidRPr="00A464CD">
        <w:rPr>
          <w:i/>
        </w:rPr>
        <w:t>homogènes</w:t>
      </w:r>
      <w:r w:rsidRPr="00A464CD">
        <w:t xml:space="preserve"> – offre </w:t>
      </w:r>
      <w:r w:rsidRPr="00A464CD">
        <w:rPr>
          <w:bCs/>
        </w:rPr>
        <w:t xml:space="preserve">une unité et une cohérence parfaite : même papier ("papier WS"), même graphie du premier jet, mêmes additions marginales (ou sup.) caractéristiques – que nous distinguons par le sigle  (D). </w:t>
      </w:r>
      <w:r w:rsidRPr="00A464CD">
        <w:t xml:space="preserve">Le rattachement de ce fragment au </w:t>
      </w:r>
      <w:r w:rsidRPr="00A464CD">
        <w:rPr>
          <w:i/>
        </w:rPr>
        <w:t>William Shakespeare</w:t>
      </w:r>
      <w:r w:rsidRPr="00A464CD">
        <w:t xml:space="preserve"> est évident. Mais sa publication – posthume – n’a pas, au départ, respectée ce lien : sous un titre qui ne figure pas sur le manuscrit – </w:t>
      </w:r>
      <w:r w:rsidRPr="00A464CD">
        <w:rPr>
          <w:bCs/>
        </w:rPr>
        <w:t>"</w:t>
      </w:r>
      <w:r w:rsidRPr="00A464CD">
        <w:t>A Reims. 1825 - 1838</w:t>
      </w:r>
      <w:r w:rsidRPr="00A464CD">
        <w:rPr>
          <w:bCs/>
        </w:rPr>
        <w:t xml:space="preserve">" – le fragment a d’abord été intégré à la deuxième série de </w:t>
      </w:r>
      <w:r w:rsidRPr="00A464CD">
        <w:rPr>
          <w:bCs/>
          <w:i/>
        </w:rPr>
        <w:t>Choses vues</w:t>
      </w:r>
      <w:r w:rsidRPr="00A464CD">
        <w:t>, [Paris : Calmann Lévy (impr. réunies), 1900, in-8 de III-388 pp.] pp. 1-17 (</w:t>
      </w:r>
      <w:hyperlink r:id="rId11" w:history="1">
        <w:r w:rsidRPr="00A464CD">
          <w:rPr>
            <w:color w:val="0563C1" w:themeColor="hyperlink"/>
            <w:u w:val="single"/>
          </w:rPr>
          <w:sym w:font="Wingdings" w:char="F026"/>
        </w:r>
      </w:hyperlink>
      <w:r w:rsidRPr="00A464CD">
        <w:t xml:space="preserve">). Il avait auparavant, dans le cadre de la campagne de lancement du nouvel ouvrage, été publié dans la </w:t>
      </w:r>
      <w:r w:rsidRPr="00A464CD">
        <w:rPr>
          <w:i/>
        </w:rPr>
        <w:t>Revue de Paris,</w:t>
      </w:r>
      <w:r w:rsidRPr="00A464CD">
        <w:t xml:space="preserve"> 1899.10.01, pp. 449-461 (</w:t>
      </w:r>
      <w:hyperlink r:id="rId12" w:history="1">
        <w:r w:rsidRPr="00A464CD">
          <w:rPr>
            <w:color w:val="0563C1" w:themeColor="hyperlink"/>
            <w:u w:val="single"/>
          </w:rPr>
          <w:sym w:font="Wingdings" w:char="F026"/>
        </w:r>
      </w:hyperlink>
      <w:r w:rsidRPr="00A464CD">
        <w:t xml:space="preserve">). Dans l’édition dite de l’Imprimerie nationale, il rejoignit le Reliquat de </w:t>
      </w:r>
      <w:r w:rsidRPr="00A464CD">
        <w:rPr>
          <w:i/>
        </w:rPr>
        <w:t>William Shakespeare</w:t>
      </w:r>
      <w:r w:rsidRPr="00A464CD">
        <w:t>, pp. 250-258 (</w:t>
      </w:r>
      <w:hyperlink r:id="rId13" w:history="1">
        <w:r w:rsidRPr="00A464CD">
          <w:rPr>
            <w:color w:val="0563C1" w:themeColor="hyperlink"/>
            <w:u w:val="single"/>
          </w:rPr>
          <w:sym w:font="Wingdings" w:char="F026"/>
        </w:r>
      </w:hyperlink>
      <w:r w:rsidRPr="00A464CD">
        <w:t xml:space="preserve">). Yves Gohin, fort logiquement, n’a pas retenu ce texte dans les </w:t>
      </w:r>
      <w:r w:rsidRPr="00A464CD">
        <w:rPr>
          <w:i/>
        </w:rPr>
        <w:t>Proses philosophiques de 1860-1865.</w:t>
      </w:r>
    </w:p>
    <w:p w:rsidR="00A464CD" w:rsidRPr="00A464CD" w:rsidRDefault="00A464CD" w:rsidP="00A464CD">
      <w:pPr>
        <w:jc w:val="both"/>
      </w:pPr>
    </w:p>
    <w:p w:rsidR="00A464CD" w:rsidRDefault="00A464CD" w:rsidP="00A464CD">
      <w:pPr>
        <w:jc w:val="both"/>
        <w:rPr>
          <w:bCs/>
        </w:rPr>
      </w:pPr>
      <w:r w:rsidRPr="00A464CD">
        <w:t xml:space="preserve">Sur la double feuille (f° 2) qui servait autrefois de chemise à ce chapitre, Georges Hugo, le petit-fils du poète a écrit : </w:t>
      </w:r>
      <w:r w:rsidRPr="00A464CD">
        <w:rPr>
          <w:bCs/>
        </w:rPr>
        <w:t>"</w:t>
      </w:r>
      <w:r w:rsidRPr="00A464CD">
        <w:rPr>
          <w:i/>
        </w:rPr>
        <w:t>Deux voyages à Reims formant un commencement à William Shakespeare</w:t>
      </w:r>
      <w:r w:rsidRPr="00A464CD">
        <w:rPr>
          <w:bCs/>
        </w:rPr>
        <w:t xml:space="preserve">". "Cette assertion paraît contestable : le chiffre VI qui figure en tête du texte autoriserait plutôt à avancer l'hypothèse qu'il venait, avant que Hugo ne l'en retire, à la fin du livre I de la première partie" [Yves Gohin, éd. Seebacher-Rosa 1985, </w:t>
      </w:r>
      <w:r w:rsidRPr="00A464CD">
        <w:rPr>
          <w:bCs/>
          <w:i/>
          <w:iCs/>
        </w:rPr>
        <w:t>Chantiers</w:t>
      </w:r>
      <w:r w:rsidRPr="00A464CD">
        <w:rPr>
          <w:bCs/>
        </w:rPr>
        <w:t xml:space="preserve">, p. 1117, note 1].  </w:t>
      </w:r>
    </w:p>
    <w:p w:rsidR="001B50F4" w:rsidRPr="00A464CD" w:rsidRDefault="001B50F4" w:rsidP="00A464CD">
      <w:pPr>
        <w:jc w:val="both"/>
        <w:rPr>
          <w:i/>
        </w:rPr>
      </w:pPr>
    </w:p>
    <w:p w:rsidR="00A464CD" w:rsidRPr="00A464CD" w:rsidRDefault="00A464CD" w:rsidP="00A464CD">
      <w:pPr>
        <w:jc w:val="both"/>
      </w:pPr>
    </w:p>
    <w:p w:rsidR="00A464CD" w:rsidRPr="00A464CD" w:rsidRDefault="00A464CD" w:rsidP="00A464CD">
      <w:pPr>
        <w:jc w:val="center"/>
      </w:pPr>
      <w:r w:rsidRPr="00A464CD">
        <w:t xml:space="preserve">*        </w:t>
      </w:r>
    </w:p>
    <w:p w:rsidR="00A464CD" w:rsidRPr="00A464CD" w:rsidRDefault="00A464CD" w:rsidP="00A464CD">
      <w:pPr>
        <w:jc w:val="both"/>
      </w:pPr>
    </w:p>
    <w:p w:rsidR="00A464CD" w:rsidRPr="00A464CD" w:rsidRDefault="00A464CD" w:rsidP="00A464CD">
      <w:pPr>
        <w:rPr>
          <w:b/>
          <w:bCs/>
        </w:rPr>
      </w:pPr>
      <w:r w:rsidRPr="00A464CD">
        <w:rPr>
          <w:b/>
          <w:bCs/>
          <w:highlight w:val="yellow"/>
        </w:rPr>
        <w:t>24 776 f° 20-55</w:t>
      </w:r>
      <w:r w:rsidRPr="00A464CD">
        <w:rPr>
          <w:b/>
          <w:bCs/>
        </w:rPr>
        <w:t> :</w:t>
      </w:r>
      <w:r w:rsidRPr="00A464CD">
        <w:rPr>
          <w:bCs/>
        </w:rPr>
        <w:t xml:space="preserve"> </w:t>
      </w:r>
      <w:r w:rsidRPr="00A464CD">
        <w:rPr>
          <w:b/>
          <w:bCs/>
        </w:rPr>
        <w:t>Le goût.</w:t>
      </w:r>
    </w:p>
    <w:p w:rsidR="00A464CD" w:rsidRPr="00A464CD" w:rsidRDefault="00A464CD" w:rsidP="00A464CD">
      <w:pPr>
        <w:jc w:val="both"/>
      </w:pPr>
      <w:r w:rsidRPr="00A464CD">
        <w:rPr>
          <w:bCs/>
        </w:rPr>
        <w:t xml:space="preserve">L’édition dite de l’IN a réuni plusieurs fragments de textes – nous écrirons désormais </w:t>
      </w:r>
      <w:r w:rsidRPr="00A464CD">
        <w:rPr>
          <w:bCs/>
          <w:i/>
        </w:rPr>
        <w:t>section</w:t>
      </w:r>
      <w:r w:rsidRPr="00A464CD">
        <w:rPr>
          <w:bCs/>
        </w:rPr>
        <w:t xml:space="preserve"> – contenant des considérations sur un thème commun – largement entendu – sous un titre trouvé dans les papiers de Victor Hugo : </w:t>
      </w:r>
      <w:r w:rsidRPr="00A464CD">
        <w:rPr>
          <w:b/>
          <w:bCs/>
          <w:i/>
        </w:rPr>
        <w:t>Le goût</w:t>
      </w:r>
      <w:r w:rsidRPr="00A464CD">
        <w:rPr>
          <w:bCs/>
        </w:rPr>
        <w:t xml:space="preserve"> (f° 20). Véritable patchwork. </w:t>
      </w:r>
      <w:r w:rsidRPr="00A464CD">
        <w:t xml:space="preserve">Matériellement, il s’agit de mises au net présentant quelques caractéristiques communes : utilisation du "papier WS", présence de certaines graphies particulières – cf. </w:t>
      </w:r>
      <w:r w:rsidRPr="00A464CD">
        <w:rPr>
          <w:i/>
        </w:rPr>
        <w:t>supra</w:t>
      </w:r>
      <w:r w:rsidRPr="00A464CD">
        <w:t xml:space="preserve">. – Sauf quelques </w:t>
      </w:r>
      <w:r w:rsidRPr="00A464CD">
        <w:rPr>
          <w:i/>
        </w:rPr>
        <w:t>sections</w:t>
      </w:r>
      <w:r w:rsidRPr="00A464CD">
        <w:t xml:space="preserve"> restées à l’état de brouillon</w:t>
      </w:r>
      <w:r w:rsidR="001535D6">
        <w:t> : la section 2 (ff° 24 et 24</w:t>
      </w:r>
      <w:r w:rsidR="001535D6" w:rsidRPr="001535D6">
        <w:rPr>
          <w:vertAlign w:val="superscript"/>
        </w:rPr>
        <w:t>bis</w:t>
      </w:r>
      <w:r w:rsidR="001535D6">
        <w:t xml:space="preserve">), qui, sans être </w:t>
      </w:r>
      <w:r w:rsidRPr="00A464CD">
        <w:t>un premier jet</w:t>
      </w:r>
      <w:r w:rsidR="001535D6">
        <w:t xml:space="preserve">, n’est </w:t>
      </w:r>
      <w:r w:rsidRPr="00A464CD">
        <w:t>pas encore une mise au net</w:t>
      </w:r>
      <w:r w:rsidR="001B50F4">
        <w:t xml:space="preserve"> et la section 8</w:t>
      </w:r>
      <w:r w:rsidRPr="00A464CD">
        <w:t xml:space="preserve"> (f</w:t>
      </w:r>
      <w:r w:rsidR="001B50F4">
        <w:t>f° 5</w:t>
      </w:r>
      <w:r w:rsidRPr="00A464CD">
        <w:t xml:space="preserve">4 et </w:t>
      </w:r>
      <w:r w:rsidR="001B50F4">
        <w:t>55</w:t>
      </w:r>
      <w:r w:rsidRPr="00A464CD">
        <w:t xml:space="preserve">), </w:t>
      </w:r>
      <w:r w:rsidR="001B50F4">
        <w:t xml:space="preserve">qui constitue ce que </w:t>
      </w:r>
      <w:r w:rsidRPr="00A464CD">
        <w:t>René Journet dénommait une "réfection".</w:t>
      </w:r>
    </w:p>
    <w:p w:rsidR="00A464CD" w:rsidRPr="00A464CD" w:rsidRDefault="00A464CD" w:rsidP="00A464CD">
      <w:pPr>
        <w:jc w:val="both"/>
      </w:pPr>
    </w:p>
    <w:p w:rsidR="00A464CD" w:rsidRPr="00A464CD" w:rsidRDefault="00A464CD" w:rsidP="00A464CD">
      <w:pPr>
        <w:jc w:val="both"/>
      </w:pPr>
      <w:r w:rsidRPr="00A464CD">
        <w:t xml:space="preserve">Combien de </w:t>
      </w:r>
      <w:r w:rsidRPr="00A464CD">
        <w:rPr>
          <w:i/>
        </w:rPr>
        <w:t>sections</w:t>
      </w:r>
      <w:r w:rsidRPr="00A464CD">
        <w:t xml:space="preserve"> peut-on discerner ? Les organisateurs du manuscrit 24776 délimitent, en intercalant des pages blanches, trois divisions (f° 22-33, 35-52, 54-55). Ils semblent avoir retenu comme critère la thématique propre à chaque division mais </w:t>
      </w:r>
      <w:r w:rsidR="001B50F4">
        <w:t xml:space="preserve">n’avoir </w:t>
      </w:r>
      <w:r w:rsidRPr="00A464CD">
        <w:t>pas pris en compte les différences d</w:t>
      </w:r>
      <w:r w:rsidR="001B50F4">
        <w:t>e graphie</w:t>
      </w:r>
      <w:r w:rsidRPr="00A464CD">
        <w:t xml:space="preserve">, indices pourtant d’étapes </w:t>
      </w:r>
      <w:r w:rsidRPr="00A464CD">
        <w:lastRenderedPageBreak/>
        <w:t>dans la rédaction. Il convient de conjuguer les deux critères – d’autant plus logiquement qu’en relevant un changement d</w:t>
      </w:r>
      <w:r w:rsidR="001B50F4">
        <w:t>e graphie</w:t>
      </w:r>
      <w:r w:rsidRPr="00A464CD">
        <w:t xml:space="preserve">, on constate, presque systématiquement et </w:t>
      </w:r>
      <w:r w:rsidR="001B50F4">
        <w:t xml:space="preserve">à tout </w:t>
      </w:r>
      <w:r w:rsidRPr="00A464CD">
        <w:t xml:space="preserve">le moins, une inflexion dans la thématique. Ainsi nous distinguons huit </w:t>
      </w:r>
      <w:r w:rsidRPr="00A464CD">
        <w:rPr>
          <w:i/>
        </w:rPr>
        <w:t xml:space="preserve">sections. </w:t>
      </w:r>
      <w:r w:rsidRPr="00A464CD">
        <w:t>NB. Les pages indiquées</w:t>
      </w:r>
      <w:r w:rsidR="00A33221">
        <w:t>, en marge droite,</w:t>
      </w:r>
      <w:r w:rsidRPr="00A464CD">
        <w:t xml:space="preserve"> sont celle</w:t>
      </w:r>
      <w:r w:rsidR="00A33221">
        <w:t>s</w:t>
      </w:r>
      <w:r w:rsidRPr="00A464CD">
        <w:t xml:space="preserve"> de l’éd. Seebacher-Rosa 1990, vol. </w:t>
      </w:r>
      <w:r w:rsidRPr="00A464CD">
        <w:rPr>
          <w:i/>
        </w:rPr>
        <w:t>Chantier.</w:t>
      </w:r>
      <w:r w:rsidRPr="00A464CD">
        <w:t xml:space="preserve"> </w:t>
      </w:r>
    </w:p>
    <w:p w:rsidR="00A464CD" w:rsidRPr="00A464CD" w:rsidRDefault="00A464CD" w:rsidP="00A464CD">
      <w:pPr>
        <w:jc w:val="both"/>
      </w:pPr>
    </w:p>
    <w:p w:rsidR="00A464CD" w:rsidRPr="00666FB2" w:rsidRDefault="00A464CD" w:rsidP="00666FB2">
      <w:pPr>
        <w:pStyle w:val="Paragraphedeliste"/>
        <w:numPr>
          <w:ilvl w:val="0"/>
          <w:numId w:val="14"/>
        </w:numPr>
        <w:jc w:val="both"/>
        <w:rPr>
          <w:bCs/>
          <w:sz w:val="22"/>
          <w:szCs w:val="22"/>
        </w:rPr>
      </w:pPr>
      <w:r w:rsidRPr="00666FB2">
        <w:rPr>
          <w:bCs/>
        </w:rPr>
        <w:t xml:space="preserve">f° 22 et 23 : de </w:t>
      </w:r>
      <w:r w:rsidRPr="00A464CD">
        <w:t>"</w:t>
      </w:r>
      <w:r w:rsidRPr="00666FB2">
        <w:rPr>
          <w:bCs/>
          <w:i/>
        </w:rPr>
        <w:t>Définir le goût, impossible.</w:t>
      </w:r>
      <w:r w:rsidRPr="00A464CD">
        <w:t>" à "</w:t>
      </w:r>
      <w:r w:rsidRPr="00666FB2">
        <w:rPr>
          <w:i/>
        </w:rPr>
        <w:t>Le Goût c’est l’ordre.</w:t>
      </w:r>
      <w:r w:rsidRPr="00A464CD">
        <w:t xml:space="preserve">" </w:t>
      </w:r>
      <w:r w:rsidRPr="00A464CD">
        <w:tab/>
        <w:t xml:space="preserve">            </w:t>
      </w:r>
      <w:r w:rsidR="001B50F4">
        <w:tab/>
        <w:t xml:space="preserve">           </w:t>
      </w:r>
      <w:r w:rsidRPr="00A464CD">
        <w:t>564-565</w:t>
      </w:r>
    </w:p>
    <w:p w:rsidR="001535D6" w:rsidRPr="001535D6" w:rsidRDefault="001535D6" w:rsidP="00D31236">
      <w:pPr>
        <w:pStyle w:val="Paragraphedeliste"/>
        <w:numPr>
          <w:ilvl w:val="0"/>
          <w:numId w:val="14"/>
        </w:numPr>
        <w:jc w:val="both"/>
      </w:pPr>
      <w:r w:rsidRPr="001535D6">
        <w:t>f°</w:t>
      </w:r>
      <w:r>
        <w:t xml:space="preserve"> 24 et 24</w:t>
      </w:r>
      <w:r w:rsidRPr="001535D6">
        <w:rPr>
          <w:vertAlign w:val="superscript"/>
        </w:rPr>
        <w:t>bis</w:t>
      </w:r>
    </w:p>
    <w:p w:rsidR="00A464CD" w:rsidRPr="001535D6" w:rsidRDefault="001535D6" w:rsidP="001535D6">
      <w:pPr>
        <w:pStyle w:val="Paragraphedeliste"/>
        <w:ind w:left="1416"/>
        <w:jc w:val="both"/>
        <w:rPr>
          <w:sz w:val="16"/>
          <w:szCs w:val="16"/>
        </w:rPr>
      </w:pPr>
      <w:r>
        <w:rPr>
          <w:sz w:val="16"/>
          <w:szCs w:val="16"/>
        </w:rPr>
        <w:t xml:space="preserve">Ces </w:t>
      </w:r>
      <w:r w:rsidR="00A464CD" w:rsidRPr="00D31236">
        <w:rPr>
          <w:sz w:val="16"/>
          <w:szCs w:val="16"/>
        </w:rPr>
        <w:t xml:space="preserve">deux folios se distinguent des précédents et des suivants : par le papier utilisé (il ne s’agit plus de "papier </w:t>
      </w:r>
      <w:r w:rsidR="00A464CD" w:rsidRPr="001535D6">
        <w:rPr>
          <w:sz w:val="16"/>
          <w:szCs w:val="16"/>
        </w:rPr>
        <w:t xml:space="preserve">WS") et en cela qu’ils ne portent pas une mise au net, mais un quasi brouillon. Les responsables de la constitution du </w:t>
      </w:r>
      <w:r w:rsidR="00D31236" w:rsidRPr="001535D6">
        <w:rPr>
          <w:sz w:val="16"/>
          <w:szCs w:val="16"/>
        </w:rPr>
        <w:t xml:space="preserve">                         </w:t>
      </w:r>
      <w:r w:rsidR="00A464CD" w:rsidRPr="001535D6">
        <w:rPr>
          <w:sz w:val="16"/>
          <w:szCs w:val="16"/>
        </w:rPr>
        <w:t xml:space="preserve">manuscrit semblent avoir hésité quant à la place à leur donner : ils leur attribuèrent d’abord les numéros de f° 266 et 267, </w:t>
      </w:r>
      <w:r w:rsidR="00D31236" w:rsidRPr="001535D6">
        <w:rPr>
          <w:sz w:val="16"/>
          <w:szCs w:val="16"/>
        </w:rPr>
        <w:t xml:space="preserve">  </w:t>
      </w:r>
      <w:r w:rsidR="00A464CD" w:rsidRPr="001535D6">
        <w:rPr>
          <w:sz w:val="16"/>
          <w:szCs w:val="16"/>
        </w:rPr>
        <w:t xml:space="preserve">puis les intercalèrent entre le f° 23 et 24 devenu 24 </w:t>
      </w:r>
      <w:r w:rsidR="00A464CD" w:rsidRPr="001535D6">
        <w:rPr>
          <w:sz w:val="16"/>
          <w:szCs w:val="16"/>
          <w:vertAlign w:val="superscript"/>
        </w:rPr>
        <w:t>ter</w:t>
      </w:r>
      <w:r w:rsidR="00A464CD" w:rsidRPr="001535D6">
        <w:rPr>
          <w:sz w:val="16"/>
          <w:szCs w:val="16"/>
        </w:rPr>
        <w:t>.</w:t>
      </w:r>
    </w:p>
    <w:p w:rsidR="00A464CD" w:rsidRPr="00A464CD" w:rsidRDefault="00A464CD" w:rsidP="001535D6">
      <w:pPr>
        <w:ind w:left="786" w:firstLine="630"/>
        <w:jc w:val="both"/>
      </w:pPr>
      <w:r w:rsidRPr="00A464CD">
        <w:t>f° 24r [a] : de "</w:t>
      </w:r>
      <w:r w:rsidRPr="005D0FAC">
        <w:rPr>
          <w:i/>
        </w:rPr>
        <w:t>Comment donc expliquer</w:t>
      </w:r>
      <w:r w:rsidRPr="00A464CD">
        <w:t>" à "</w:t>
      </w:r>
      <w:r w:rsidRPr="005D0FAC">
        <w:rPr>
          <w:i/>
        </w:rPr>
        <w:t>Expliquons ce phénomène.</w:t>
      </w:r>
      <w:r w:rsidRPr="00A464CD">
        <w:t xml:space="preserve">"        </w:t>
      </w:r>
      <w:r w:rsidR="00A33221">
        <w:t xml:space="preserve">              </w:t>
      </w:r>
      <w:r w:rsidR="00A33221">
        <w:tab/>
        <w:t xml:space="preserve">     </w:t>
      </w:r>
      <w:r w:rsidRPr="00A464CD">
        <w:t>565</w:t>
      </w:r>
    </w:p>
    <w:p w:rsidR="00A464CD" w:rsidRPr="001535D6" w:rsidRDefault="00A464CD" w:rsidP="00A464CD">
      <w:pPr>
        <w:ind w:left="1416"/>
        <w:contextualSpacing/>
        <w:jc w:val="both"/>
        <w:rPr>
          <w:bCs/>
          <w:sz w:val="16"/>
          <w:szCs w:val="16"/>
        </w:rPr>
      </w:pPr>
      <w:r w:rsidRPr="001535D6">
        <w:rPr>
          <w:sz w:val="16"/>
          <w:szCs w:val="16"/>
        </w:rPr>
        <w:t>Le texte de la première partie du f° 24r s’enchaine assez facilement avec la fin du f° 23.</w:t>
      </w:r>
    </w:p>
    <w:p w:rsidR="00A464CD" w:rsidRPr="00A464CD" w:rsidRDefault="00A464CD" w:rsidP="009B0573">
      <w:pPr>
        <w:ind w:left="1275" w:firstLine="141"/>
        <w:contextualSpacing/>
        <w:jc w:val="both"/>
        <w:rPr>
          <w:bCs/>
        </w:rPr>
      </w:pPr>
      <w:r w:rsidRPr="00A464CD">
        <w:rPr>
          <w:bCs/>
        </w:rPr>
        <w:t xml:space="preserve">f° 24r [b] : de </w:t>
      </w:r>
      <w:r w:rsidRPr="00A464CD">
        <w:t>"</w:t>
      </w:r>
      <w:r w:rsidRPr="00A464CD">
        <w:rPr>
          <w:i/>
        </w:rPr>
        <w:t>Affirmons cette vérité…</w:t>
      </w:r>
      <w:r w:rsidRPr="00A464CD">
        <w:t xml:space="preserve">" à "… </w:t>
      </w:r>
      <w:r w:rsidRPr="00A464CD">
        <w:rPr>
          <w:i/>
        </w:rPr>
        <w:t>fait partie du bon.</w:t>
      </w:r>
      <w:r w:rsidRPr="00A464CD">
        <w:t>"                                                   565</w:t>
      </w:r>
    </w:p>
    <w:p w:rsidR="00A464CD" w:rsidRPr="00A464CD" w:rsidRDefault="00A464CD" w:rsidP="00A33221">
      <w:pPr>
        <w:ind w:left="720" w:firstLine="696"/>
        <w:contextualSpacing/>
        <w:jc w:val="both"/>
        <w:rPr>
          <w:bCs/>
        </w:rPr>
      </w:pPr>
      <w:r w:rsidRPr="00A464CD">
        <w:rPr>
          <w:bCs/>
          <w:color w:val="FF0000"/>
          <w:shd w:val="clear" w:color="auto" w:fill="FFFFFF" w:themeFill="background1"/>
        </w:rPr>
        <w:t xml:space="preserve">f° 24v : sans aucun lien avec la thématique du </w:t>
      </w:r>
      <w:r w:rsidRPr="00A464CD">
        <w:rPr>
          <w:color w:val="FF0000"/>
        </w:rPr>
        <w:t>"</w:t>
      </w:r>
      <w:r w:rsidRPr="00A464CD">
        <w:rPr>
          <w:bCs/>
          <w:color w:val="FF0000"/>
          <w:shd w:val="clear" w:color="auto" w:fill="FFFFFF" w:themeFill="background1"/>
        </w:rPr>
        <w:t>goût</w:t>
      </w:r>
      <w:r w:rsidRPr="00A464CD">
        <w:rPr>
          <w:color w:val="FF0000"/>
        </w:rPr>
        <w:t>"</w:t>
      </w:r>
      <w:r w:rsidRPr="00A464CD">
        <w:rPr>
          <w:bCs/>
          <w:color w:val="FF0000"/>
          <w:shd w:val="clear" w:color="auto" w:fill="FFFFFF" w:themeFill="background1"/>
        </w:rPr>
        <w:t xml:space="preserve"> mais plutôt avec celle du </w:t>
      </w:r>
      <w:r w:rsidRPr="00A464CD">
        <w:rPr>
          <w:color w:val="FF0000"/>
        </w:rPr>
        <w:t>"</w:t>
      </w:r>
      <w:r w:rsidRPr="00A464CD">
        <w:rPr>
          <w:bCs/>
          <w:color w:val="FF0000"/>
          <w:shd w:val="clear" w:color="auto" w:fill="FFFFFF" w:themeFill="background1"/>
        </w:rPr>
        <w:t>tyran</w:t>
      </w:r>
      <w:r w:rsidRPr="00A464CD">
        <w:rPr>
          <w:color w:val="FF0000"/>
        </w:rPr>
        <w:t>"</w:t>
      </w:r>
      <w:r w:rsidRPr="00A464CD">
        <w:rPr>
          <w:bCs/>
          <w:color w:val="FF0000"/>
          <w:shd w:val="clear" w:color="auto" w:fill="FFFFFF" w:themeFill="background1"/>
        </w:rPr>
        <w:t>.</w:t>
      </w:r>
    </w:p>
    <w:p w:rsidR="00A464CD" w:rsidRPr="00A464CD" w:rsidRDefault="00A464CD" w:rsidP="00A33221">
      <w:pPr>
        <w:ind w:left="720" w:firstLine="696"/>
        <w:contextualSpacing/>
        <w:jc w:val="both"/>
      </w:pPr>
      <w:r w:rsidRPr="00A464CD">
        <w:t>f° 24</w:t>
      </w:r>
      <w:r w:rsidRPr="00A464CD">
        <w:rPr>
          <w:vertAlign w:val="superscript"/>
        </w:rPr>
        <w:t>bis</w:t>
      </w:r>
      <w:r w:rsidRPr="00A464CD">
        <w:t> : de "</w:t>
      </w:r>
      <w:r w:rsidRPr="00A464CD">
        <w:rPr>
          <w:i/>
        </w:rPr>
        <w:t>Mais dans ce beau,…</w:t>
      </w:r>
      <w:r w:rsidRPr="00A464CD">
        <w:t>" à "…</w:t>
      </w:r>
      <w:r w:rsidRPr="00A464CD">
        <w:rPr>
          <w:i/>
        </w:rPr>
        <w:t xml:space="preserve">, ceci est toute </w:t>
      </w:r>
      <w:r w:rsidRPr="00A464CD">
        <w:t>[la]</w:t>
      </w:r>
      <w:r w:rsidRPr="00A464CD">
        <w:rPr>
          <w:i/>
        </w:rPr>
        <w:t xml:space="preserve"> punition</w:t>
      </w:r>
      <w:r w:rsidRPr="00A464CD">
        <w:t xml:space="preserve">".                             </w:t>
      </w:r>
      <w:r w:rsidRPr="00A464CD">
        <w:tab/>
        <w:t xml:space="preserve">     565</w:t>
      </w:r>
    </w:p>
    <w:p w:rsidR="00A464CD" w:rsidRPr="00A464CD" w:rsidRDefault="00A464CD" w:rsidP="00A464CD">
      <w:pPr>
        <w:ind w:left="1416"/>
        <w:contextualSpacing/>
        <w:jc w:val="both"/>
        <w:rPr>
          <w:sz w:val="16"/>
          <w:szCs w:val="16"/>
        </w:rPr>
      </w:pPr>
      <w:r w:rsidRPr="00A464CD">
        <w:rPr>
          <w:sz w:val="16"/>
          <w:szCs w:val="16"/>
        </w:rPr>
        <w:t>Le texte du f° 24</w:t>
      </w:r>
      <w:r w:rsidRPr="009B0573">
        <w:rPr>
          <w:sz w:val="16"/>
          <w:szCs w:val="16"/>
          <w:vertAlign w:val="superscript"/>
        </w:rPr>
        <w:t>bis</w:t>
      </w:r>
      <w:r w:rsidRPr="00A464CD">
        <w:rPr>
          <w:sz w:val="16"/>
          <w:szCs w:val="16"/>
        </w:rPr>
        <w:t xml:space="preserve"> – sur un imprimé – s’enchaine assez logiquement avec la seconde partie du f° 24r.</w:t>
      </w:r>
    </w:p>
    <w:p w:rsidR="00A464CD" w:rsidRPr="001B50F4" w:rsidRDefault="00A464CD" w:rsidP="001535D6">
      <w:pPr>
        <w:pStyle w:val="Paragraphedeliste"/>
        <w:numPr>
          <w:ilvl w:val="0"/>
          <w:numId w:val="14"/>
        </w:numPr>
        <w:jc w:val="both"/>
        <w:rPr>
          <w:bCs/>
        </w:rPr>
      </w:pPr>
      <w:r w:rsidRPr="001535D6">
        <w:rPr>
          <w:bCs/>
        </w:rPr>
        <w:t>f° 24</w:t>
      </w:r>
      <w:r w:rsidRPr="001535D6">
        <w:rPr>
          <w:bCs/>
          <w:vertAlign w:val="superscript"/>
        </w:rPr>
        <w:t>ter</w:t>
      </w:r>
      <w:r w:rsidRPr="001535D6">
        <w:rPr>
          <w:bCs/>
        </w:rPr>
        <w:t xml:space="preserve"> à 33 : de </w:t>
      </w:r>
      <w:r w:rsidRPr="00A464CD">
        <w:t>"</w:t>
      </w:r>
      <w:r w:rsidRPr="001535D6">
        <w:rPr>
          <w:i/>
        </w:rPr>
        <w:t>Tout ce que nous venons d’écrire…</w:t>
      </w:r>
      <w:r w:rsidRPr="00A464CD">
        <w:t>" à "</w:t>
      </w:r>
      <w:r w:rsidRPr="001535D6">
        <w:rPr>
          <w:i/>
        </w:rPr>
        <w:t>… langue de Montaigne</w:t>
      </w:r>
      <w:r w:rsidRPr="00A464CD">
        <w:t>."                 565-569</w:t>
      </w:r>
    </w:p>
    <w:p w:rsidR="001B50F4" w:rsidRPr="001B50F4" w:rsidRDefault="001B50F4" w:rsidP="001B50F4">
      <w:pPr>
        <w:pStyle w:val="Paragraphedeliste"/>
        <w:ind w:left="927"/>
        <w:jc w:val="both"/>
        <w:rPr>
          <w:bCs/>
          <w:sz w:val="12"/>
          <w:szCs w:val="12"/>
        </w:rPr>
      </w:pPr>
    </w:p>
    <w:p w:rsidR="00A464CD" w:rsidRPr="00A464CD" w:rsidRDefault="00A464CD" w:rsidP="001535D6">
      <w:pPr>
        <w:numPr>
          <w:ilvl w:val="0"/>
          <w:numId w:val="14"/>
        </w:numPr>
        <w:contextualSpacing/>
        <w:jc w:val="both"/>
        <w:rPr>
          <w:bCs/>
        </w:rPr>
      </w:pPr>
      <w:r w:rsidRPr="00A464CD">
        <w:rPr>
          <w:bCs/>
        </w:rPr>
        <w:t xml:space="preserve">f° 35 à 44 : de </w:t>
      </w:r>
      <w:r w:rsidRPr="00A464CD">
        <w:t>"</w:t>
      </w:r>
      <w:r w:rsidRPr="00A464CD">
        <w:rPr>
          <w:i/>
        </w:rPr>
        <w:t>Tout en maintenant les observations…</w:t>
      </w:r>
      <w:r w:rsidRPr="00A464CD">
        <w:t>" à "</w:t>
      </w:r>
      <w:r w:rsidRPr="00A464CD">
        <w:rPr>
          <w:i/>
        </w:rPr>
        <w:t>…devient éternelle.</w:t>
      </w:r>
      <w:r w:rsidRPr="00A464CD">
        <w:t>"                       569-574</w:t>
      </w:r>
    </w:p>
    <w:p w:rsidR="00A464CD" w:rsidRPr="00A464CD" w:rsidRDefault="00A464CD" w:rsidP="001535D6">
      <w:pPr>
        <w:numPr>
          <w:ilvl w:val="0"/>
          <w:numId w:val="14"/>
        </w:numPr>
        <w:contextualSpacing/>
        <w:jc w:val="both"/>
        <w:rPr>
          <w:bCs/>
        </w:rPr>
      </w:pPr>
      <w:r w:rsidRPr="00A464CD">
        <w:rPr>
          <w:bCs/>
        </w:rPr>
        <w:t xml:space="preserve">f° 45 à 48 : de </w:t>
      </w:r>
      <w:r w:rsidRPr="00A464CD">
        <w:t>"</w:t>
      </w:r>
      <w:r w:rsidRPr="00A464CD">
        <w:rPr>
          <w:i/>
        </w:rPr>
        <w:t>Une manière d’écrire qu’on a tout seul…</w:t>
      </w:r>
      <w:r w:rsidRPr="00A464CD">
        <w:t>" à "</w:t>
      </w:r>
      <w:r w:rsidRPr="00A464CD">
        <w:rPr>
          <w:i/>
        </w:rPr>
        <w:t>…et c'est là le génie.</w:t>
      </w:r>
      <w:r w:rsidRPr="00A464CD">
        <w:t>"                574-576</w:t>
      </w:r>
    </w:p>
    <w:p w:rsidR="00A464CD" w:rsidRPr="001535D6" w:rsidRDefault="00A464CD" w:rsidP="001535D6">
      <w:pPr>
        <w:ind w:left="708" w:firstLine="708"/>
        <w:jc w:val="both"/>
        <w:rPr>
          <w:bCs/>
          <w:sz w:val="16"/>
          <w:szCs w:val="16"/>
        </w:rPr>
      </w:pPr>
      <w:r w:rsidRPr="001535D6">
        <w:rPr>
          <w:sz w:val="16"/>
          <w:szCs w:val="16"/>
        </w:rPr>
        <w:t xml:space="preserve">C’est la différence d’écriture qui nous conduit à séparer la section </w:t>
      </w:r>
      <w:r w:rsidR="001B50F4">
        <w:rPr>
          <w:sz w:val="16"/>
          <w:szCs w:val="16"/>
        </w:rPr>
        <w:t>5 de la section 4</w:t>
      </w:r>
      <w:r w:rsidRPr="001535D6">
        <w:rPr>
          <w:sz w:val="16"/>
          <w:szCs w:val="16"/>
        </w:rPr>
        <w:t>.</w:t>
      </w:r>
    </w:p>
    <w:p w:rsidR="00A464CD" w:rsidRPr="00A464CD" w:rsidRDefault="00A464CD" w:rsidP="001535D6">
      <w:pPr>
        <w:numPr>
          <w:ilvl w:val="0"/>
          <w:numId w:val="14"/>
        </w:numPr>
        <w:contextualSpacing/>
        <w:jc w:val="both"/>
        <w:rPr>
          <w:bCs/>
        </w:rPr>
      </w:pPr>
      <w:r w:rsidRPr="00A464CD">
        <w:t>f° 49 à 50 : de "</w:t>
      </w:r>
      <w:r w:rsidRPr="00A464CD">
        <w:rPr>
          <w:i/>
        </w:rPr>
        <w:t>C'est une chose profonde que la critique, …</w:t>
      </w:r>
      <w:r w:rsidRPr="00A464CD">
        <w:t>" à "</w:t>
      </w:r>
      <w:r w:rsidRPr="00A464CD">
        <w:rPr>
          <w:i/>
        </w:rPr>
        <w:t>Le ciel est de trop.</w:t>
      </w:r>
      <w:r w:rsidRPr="00A464CD">
        <w:t>"                576-577</w:t>
      </w:r>
    </w:p>
    <w:p w:rsidR="00A464CD" w:rsidRPr="001535D6" w:rsidRDefault="00A464CD" w:rsidP="001535D6">
      <w:pPr>
        <w:ind w:left="708" w:firstLine="708"/>
        <w:jc w:val="both"/>
        <w:rPr>
          <w:bCs/>
          <w:sz w:val="16"/>
          <w:szCs w:val="16"/>
        </w:rPr>
      </w:pPr>
      <w:r w:rsidRPr="001535D6">
        <w:rPr>
          <w:sz w:val="16"/>
          <w:szCs w:val="16"/>
        </w:rPr>
        <w:t xml:space="preserve">C’est la différence d’écriture qui nous conduit à séparer la section </w:t>
      </w:r>
      <w:r w:rsidR="001B50F4">
        <w:rPr>
          <w:sz w:val="16"/>
          <w:szCs w:val="16"/>
        </w:rPr>
        <w:t>6</w:t>
      </w:r>
      <w:r w:rsidRPr="001535D6">
        <w:rPr>
          <w:sz w:val="16"/>
          <w:szCs w:val="16"/>
        </w:rPr>
        <w:t xml:space="preserve"> de la section</w:t>
      </w:r>
      <w:r w:rsidR="001B50F4">
        <w:rPr>
          <w:sz w:val="16"/>
          <w:szCs w:val="16"/>
        </w:rPr>
        <w:t xml:space="preserve"> 5</w:t>
      </w:r>
      <w:r w:rsidRPr="001535D6">
        <w:rPr>
          <w:sz w:val="16"/>
          <w:szCs w:val="16"/>
        </w:rPr>
        <w:t>.</w:t>
      </w:r>
    </w:p>
    <w:p w:rsidR="00A464CD" w:rsidRPr="001B50F4" w:rsidRDefault="00A464CD" w:rsidP="001535D6">
      <w:pPr>
        <w:numPr>
          <w:ilvl w:val="0"/>
          <w:numId w:val="14"/>
        </w:numPr>
        <w:contextualSpacing/>
        <w:jc w:val="both"/>
        <w:rPr>
          <w:bCs/>
        </w:rPr>
      </w:pPr>
      <w:r w:rsidRPr="00A464CD">
        <w:t>f° 51 et 52 : de "</w:t>
      </w:r>
      <w:r w:rsidRPr="00A464CD">
        <w:rPr>
          <w:i/>
        </w:rPr>
        <w:t>Racine, Boileau, Pope, …</w:t>
      </w:r>
      <w:r w:rsidRPr="00A464CD">
        <w:t>" à "</w:t>
      </w:r>
      <w:r w:rsidRPr="00A464CD">
        <w:rPr>
          <w:i/>
        </w:rPr>
        <w:t>… une rencontre qui est la beauté.</w:t>
      </w:r>
      <w:r w:rsidRPr="00A464CD">
        <w:t>"                  577-578</w:t>
      </w:r>
    </w:p>
    <w:p w:rsidR="001B50F4" w:rsidRDefault="001B50F4" w:rsidP="001B50F4">
      <w:pPr>
        <w:ind w:left="1416"/>
        <w:contextualSpacing/>
        <w:jc w:val="both"/>
        <w:rPr>
          <w:sz w:val="16"/>
          <w:szCs w:val="16"/>
        </w:rPr>
      </w:pPr>
      <w:r w:rsidRPr="001535D6">
        <w:rPr>
          <w:sz w:val="16"/>
          <w:szCs w:val="16"/>
        </w:rPr>
        <w:t>C’est la différence d’écriture qui nous conduit à séparer la section 7 de la section 6.</w:t>
      </w:r>
    </w:p>
    <w:p w:rsidR="00BD134F" w:rsidRPr="00BD134F" w:rsidRDefault="00BD134F" w:rsidP="001B50F4">
      <w:pPr>
        <w:ind w:left="1416"/>
        <w:contextualSpacing/>
        <w:jc w:val="both"/>
        <w:rPr>
          <w:bCs/>
          <w:sz w:val="12"/>
          <w:szCs w:val="12"/>
        </w:rPr>
      </w:pPr>
    </w:p>
    <w:p w:rsidR="00A464CD" w:rsidRPr="00A464CD" w:rsidRDefault="00A464CD" w:rsidP="001535D6">
      <w:pPr>
        <w:numPr>
          <w:ilvl w:val="0"/>
          <w:numId w:val="14"/>
        </w:numPr>
        <w:contextualSpacing/>
        <w:jc w:val="both"/>
        <w:rPr>
          <w:bCs/>
        </w:rPr>
      </w:pPr>
      <w:r w:rsidRPr="00A464CD">
        <w:t>f° 54 et 55 : de "</w:t>
      </w:r>
      <w:r w:rsidRPr="00A464CD">
        <w:rPr>
          <w:i/>
        </w:rPr>
        <w:t>Ce qui est dans les lettres…</w:t>
      </w:r>
      <w:r w:rsidRPr="00A464CD">
        <w:t>" à "</w:t>
      </w:r>
      <w:r w:rsidRPr="00A464CD">
        <w:rPr>
          <w:i/>
        </w:rPr>
        <w:t>…l'évident résultat d'une exposition</w:t>
      </w:r>
      <w:r w:rsidRPr="00A464CD">
        <w:t xml:space="preserve">" </w:t>
      </w:r>
    </w:p>
    <w:p w:rsidR="00A464CD" w:rsidRPr="00A464CD" w:rsidRDefault="00A464CD" w:rsidP="00A464CD">
      <w:pPr>
        <w:ind w:left="1416"/>
        <w:jc w:val="both"/>
        <w:rPr>
          <w:bCs/>
          <w:color w:val="000000"/>
          <w:sz w:val="16"/>
          <w:szCs w:val="16"/>
        </w:rPr>
      </w:pPr>
      <w:r w:rsidRPr="00A464CD">
        <w:rPr>
          <w:bCs/>
          <w:color w:val="000000"/>
          <w:sz w:val="16"/>
          <w:szCs w:val="16"/>
        </w:rPr>
        <w:t>Ce texte - sur une seule page, avec deux colonnes paginées "54" et "55", d’une écriture très cursive - doit-il être joint aux sections composant l’ensemble intitulé "Le Goût" ? Les premiers éditeurs (ceux de l’IN, 1937) décidèrent du rattachement, ainsi que leurs successeurs. Sauf, Yves Gohin qui, dans l'édition Seebacher-Rosa (1990), ne reprend pas ce texte pour clore son édition du "Goût". Certes l'écriture des deux textes semble de la même époque, certes l'un et l'autre traitent du même sujet : le goût, mais il faut remarquer, sur la présente page, la pagination donnée, par V</w:t>
      </w:r>
      <w:r w:rsidR="00BD134F">
        <w:rPr>
          <w:bCs/>
          <w:color w:val="000000"/>
          <w:sz w:val="16"/>
          <w:szCs w:val="16"/>
        </w:rPr>
        <w:t xml:space="preserve">ictor </w:t>
      </w:r>
      <w:r w:rsidRPr="00A464CD">
        <w:rPr>
          <w:bCs/>
          <w:color w:val="000000"/>
          <w:sz w:val="16"/>
          <w:szCs w:val="16"/>
        </w:rPr>
        <w:t>H</w:t>
      </w:r>
      <w:r w:rsidR="00BD134F">
        <w:rPr>
          <w:bCs/>
          <w:color w:val="000000"/>
          <w:sz w:val="16"/>
          <w:szCs w:val="16"/>
        </w:rPr>
        <w:t>ugo</w:t>
      </w:r>
      <w:r w:rsidRPr="00A464CD">
        <w:rPr>
          <w:bCs/>
          <w:color w:val="000000"/>
          <w:sz w:val="16"/>
          <w:szCs w:val="16"/>
        </w:rPr>
        <w:t>, à chacune des colonnes : 5, à droite et 6 à gauche qui laisse penser que ce texte appartenait à un ensemble qui comptait au moins six pages. Un texte indépendant (?).</w:t>
      </w:r>
    </w:p>
    <w:p w:rsidR="00A464CD" w:rsidRPr="00A464CD" w:rsidRDefault="00A464CD" w:rsidP="00A464CD">
      <w:pPr>
        <w:jc w:val="both"/>
        <w:rPr>
          <w:bCs/>
          <w:color w:val="000000"/>
        </w:rPr>
      </w:pPr>
    </w:p>
    <w:p w:rsidR="00A464CD" w:rsidRPr="00A464CD" w:rsidRDefault="00A464CD" w:rsidP="00A464CD">
      <w:pPr>
        <w:jc w:val="both"/>
        <w:rPr>
          <w:b/>
          <w:bCs/>
        </w:rPr>
      </w:pPr>
      <w:r w:rsidRPr="00A464CD">
        <w:rPr>
          <w:bCs/>
          <w:color w:val="000000"/>
        </w:rPr>
        <w:t xml:space="preserve">Un extrait de ce fragment a été publié, par Paul Meurice dans un recueil posthume, quelque peu bâclé, sous le titre : </w:t>
      </w:r>
      <w:r w:rsidRPr="00A464CD">
        <w:rPr>
          <w:bCs/>
          <w:i/>
          <w:color w:val="000000"/>
        </w:rPr>
        <w:t>Post-scriptum de ma vie</w:t>
      </w:r>
      <w:r w:rsidRPr="00A464CD">
        <w:rPr>
          <w:bCs/>
          <w:color w:val="000000"/>
        </w:rPr>
        <w:t xml:space="preserve"> - Paris : Calmann Lévy (impr. réunies Motteroz), 1901, in-8 de III-272 pp. ; il occupe, dans ce volume, les pp. 35 à 52 (</w:t>
      </w:r>
      <w:hyperlink r:id="rId14" w:anchor="page/34/mode/2up" w:history="1">
        <w:r w:rsidRPr="00A464CD">
          <w:rPr>
            <w:bCs/>
            <w:color w:val="0563C1" w:themeColor="hyperlink"/>
            <w:u w:val="single"/>
          </w:rPr>
          <w:sym w:font="Wingdings" w:char="F026"/>
        </w:r>
      </w:hyperlink>
      <w:r w:rsidRPr="00A464CD">
        <w:rPr>
          <w:bCs/>
        </w:rPr>
        <w:t>).</w:t>
      </w:r>
      <w:r w:rsidRPr="00A464CD">
        <w:rPr>
          <w:bCs/>
          <w:color w:val="000000"/>
        </w:rPr>
        <w:t xml:space="preserve"> Il s’agit des sections 4 à 8. Le découpage en paragraphes s’écarte résolument du manuscrit. Certains passages sont supprimés, à commencer par le début de la section 4 : </w:t>
      </w:r>
      <w:r w:rsidRPr="00A464CD">
        <w:t>"</w:t>
      </w:r>
      <w:r w:rsidRPr="00A464CD">
        <w:rPr>
          <w:i/>
        </w:rPr>
        <w:t>Tout en maintenant les observations faites ailleurs, et qui portent sur un autre</w:t>
      </w:r>
      <w:r w:rsidR="009B0573">
        <w:rPr>
          <w:i/>
        </w:rPr>
        <w:t xml:space="preserve"> </w:t>
      </w:r>
      <w:r w:rsidRPr="00A464CD">
        <w:rPr>
          <w:i/>
        </w:rPr>
        <w:t>côté de la question</w:t>
      </w:r>
      <w:r w:rsidRPr="00A464CD">
        <w:t xml:space="preserve">, </w:t>
      </w:r>
      <w:r w:rsidRPr="00A464CD">
        <w:rPr>
          <w:b/>
        </w:rPr>
        <w:t>nous n'avons…</w:t>
      </w:r>
      <w:r w:rsidRPr="00A464CD">
        <w:t>". Une autre suppression, la dernière phrase de la même section 4, trahit la censure moralisatrice de l’éditeur : "</w:t>
      </w:r>
      <w:r w:rsidRPr="00A464CD">
        <w:rPr>
          <w:i/>
        </w:rPr>
        <w:t>Une mode de la rue Vivienne, touchée par Coysevox ou Pradier, devient éternelle</w:t>
      </w:r>
      <w:r w:rsidRPr="00A464CD">
        <w:t xml:space="preserve">". Nommer Pradier, est-ce bien indispensable ? Pour assurer la publicité du nouvel ouvrage, un extrait du "Goût" est publié dans la </w:t>
      </w:r>
      <w:r w:rsidRPr="00A464CD">
        <w:rPr>
          <w:i/>
        </w:rPr>
        <w:t>Revue de Paris</w:t>
      </w:r>
      <w:r w:rsidRPr="00A464CD">
        <w:t xml:space="preserve">, d’octobre 1901. Dans l’Edition dite de l’Imprimerie nationale, il </w:t>
      </w:r>
      <w:r w:rsidR="00BD134F">
        <w:t>occupe,</w:t>
      </w:r>
      <w:r w:rsidRPr="00A464CD">
        <w:t xml:space="preserve"> dans le Reliquat de </w:t>
      </w:r>
      <w:r w:rsidRPr="00A464CD">
        <w:rPr>
          <w:i/>
        </w:rPr>
        <w:t>William Shakespeare</w:t>
      </w:r>
      <w:r w:rsidRPr="00A464CD">
        <w:t xml:space="preserve">, </w:t>
      </w:r>
      <w:r w:rsidR="00BD134F">
        <w:t xml:space="preserve">les </w:t>
      </w:r>
      <w:r w:rsidRPr="00A464CD">
        <w:t>pp. 282-296 (</w:t>
      </w:r>
      <w:hyperlink r:id="rId15" w:history="1">
        <w:r w:rsidRPr="00A464CD">
          <w:rPr>
            <w:color w:val="0563C1" w:themeColor="hyperlink"/>
            <w:u w:val="single"/>
          </w:rPr>
          <w:sym w:font="Wingdings" w:char="F026"/>
        </w:r>
      </w:hyperlink>
      <w:r w:rsidRPr="00A464CD">
        <w:t xml:space="preserve">). </w:t>
      </w:r>
    </w:p>
    <w:p w:rsidR="00A464CD" w:rsidRPr="00A464CD" w:rsidRDefault="00A464CD" w:rsidP="00A464CD">
      <w:pPr>
        <w:jc w:val="both"/>
      </w:pPr>
    </w:p>
    <w:p w:rsidR="00A464CD" w:rsidRPr="00A464CD" w:rsidRDefault="00A464CD" w:rsidP="00A464CD">
      <w:pPr>
        <w:jc w:val="center"/>
      </w:pPr>
      <w:r w:rsidRPr="00A464CD">
        <w:t xml:space="preserve">*        </w:t>
      </w:r>
    </w:p>
    <w:p w:rsidR="00A464CD" w:rsidRPr="00A464CD" w:rsidRDefault="00A464CD" w:rsidP="00A464CD">
      <w:pPr>
        <w:jc w:val="both"/>
      </w:pPr>
    </w:p>
    <w:p w:rsidR="00A464CD" w:rsidRPr="00A464CD" w:rsidRDefault="00A464CD" w:rsidP="00A464CD">
      <w:pPr>
        <w:jc w:val="both"/>
        <w:rPr>
          <w:b/>
          <w:bCs/>
        </w:rPr>
      </w:pPr>
      <w:r w:rsidRPr="00A464CD">
        <w:rPr>
          <w:b/>
          <w:bCs/>
          <w:highlight w:val="yellow"/>
        </w:rPr>
        <w:t>24 776 f° 64-83</w:t>
      </w:r>
      <w:r w:rsidRPr="00A464CD">
        <w:rPr>
          <w:b/>
          <w:bCs/>
        </w:rPr>
        <w:t> :</w:t>
      </w:r>
      <w:r w:rsidRPr="00A464CD">
        <w:rPr>
          <w:bCs/>
        </w:rPr>
        <w:t xml:space="preserve"> </w:t>
      </w:r>
      <w:r w:rsidRPr="00A464CD">
        <w:rPr>
          <w:b/>
          <w:bCs/>
        </w:rPr>
        <w:t>Les génies appartenant au peuple.</w:t>
      </w:r>
    </w:p>
    <w:p w:rsidR="00A464CD" w:rsidRPr="00A464CD" w:rsidRDefault="00A464CD" w:rsidP="00A464CD">
      <w:pPr>
        <w:jc w:val="both"/>
      </w:pPr>
      <w:r w:rsidRPr="00A464CD">
        <w:t>Tout est clair ou presque. Une note du 2 décembre 1863 (f° 58) : "</w:t>
      </w:r>
      <w:r w:rsidRPr="00A464CD">
        <w:rPr>
          <w:i/>
        </w:rPr>
        <w:t xml:space="preserve">Cette chemise contient le livre sur </w:t>
      </w:r>
      <w:r w:rsidRPr="00A464CD">
        <w:rPr>
          <w:i/>
          <w:iCs/>
        </w:rPr>
        <w:t>les génies appartenant au peuple</w:t>
      </w:r>
      <w:r w:rsidRPr="00A464CD">
        <w:rPr>
          <w:i/>
        </w:rPr>
        <w:t>. Ces trois</w:t>
      </w:r>
      <w:r w:rsidRPr="00A464CD">
        <w:t xml:space="preserve"> [en surcharge de : </w:t>
      </w:r>
      <w:r w:rsidRPr="00A464CD">
        <w:rPr>
          <w:i/>
        </w:rPr>
        <w:t>deux</w:t>
      </w:r>
      <w:r w:rsidRPr="00A464CD">
        <w:t xml:space="preserve">] </w:t>
      </w:r>
      <w:r w:rsidRPr="00A464CD">
        <w:rPr>
          <w:i/>
        </w:rPr>
        <w:t xml:space="preserve">dossiers en sont le commencement et la fin. J'en ai extrait pour </w:t>
      </w:r>
      <w:r w:rsidRPr="00A464CD">
        <w:rPr>
          <w:iCs/>
        </w:rPr>
        <w:t>Shakespeare</w:t>
      </w:r>
      <w:r w:rsidRPr="00A464CD">
        <w:rPr>
          <w:i/>
        </w:rPr>
        <w:t xml:space="preserve"> le dossier du milieu. S'il le fallait pour compléter le volume, tout ce que j'ai mis ici de côté pourrait y rentrer.</w:t>
      </w:r>
      <w:r w:rsidRPr="00A464CD">
        <w:t xml:space="preserve"> — </w:t>
      </w:r>
    </w:p>
    <w:p w:rsidR="00A464CD" w:rsidRPr="00A464CD" w:rsidRDefault="00A464CD" w:rsidP="00A464CD">
      <w:pPr>
        <w:jc w:val="both"/>
      </w:pPr>
      <w:r w:rsidRPr="00A464CD">
        <w:t>Combien restait-il de dossiers, après le retrait du "dossier du milieu" ? Deux ou trois ? Trois, si l’on</w:t>
      </w:r>
      <w:r w:rsidR="00BD134F">
        <w:t xml:space="preserve"> s’en</w:t>
      </w:r>
      <w:r w:rsidRPr="00A464CD">
        <w:t xml:space="preserve"> tient</w:t>
      </w:r>
      <w:r w:rsidR="00BD134F">
        <w:t xml:space="preserve"> à </w:t>
      </w:r>
      <w:r w:rsidRPr="00A464CD">
        <w:t xml:space="preserve"> l’agencement effectué dans le manuscrit : (1) f° 64-71 ; (2) f° 73-75 et (3) f° 76-83. </w:t>
      </w:r>
    </w:p>
    <w:p w:rsidR="00A464CD" w:rsidRPr="00A464CD" w:rsidRDefault="00A464CD" w:rsidP="00A464CD">
      <w:pPr>
        <w:jc w:val="both"/>
        <w:rPr>
          <w:color w:val="000000"/>
        </w:rPr>
      </w:pPr>
      <w:r w:rsidRPr="00A464CD">
        <w:t>Dans quel ordre ? L’ordonnateur du manuscrit a hésité : avant d’adopter le classement que nous venons d’indiquer, il en avait tenté un autre, dans lequel le 3</w:t>
      </w:r>
      <w:r w:rsidRPr="00A464CD">
        <w:rPr>
          <w:vertAlign w:val="superscript"/>
        </w:rPr>
        <w:t>e</w:t>
      </w:r>
      <w:r w:rsidRPr="00A464CD">
        <w:t xml:space="preserve"> dossier (</w:t>
      </w:r>
      <w:r w:rsidRPr="00A464CD">
        <w:rPr>
          <w:dstrike/>
        </w:rPr>
        <w:t>f° 64</w:t>
      </w:r>
      <w:r w:rsidRPr="00A464CD">
        <w:rPr>
          <w:dstrike/>
          <w:vertAlign w:val="superscript"/>
        </w:rPr>
        <w:t>bis</w:t>
      </w:r>
      <w:r w:rsidRPr="00A464CD">
        <w:rPr>
          <w:dstrike/>
        </w:rPr>
        <w:t>-71</w:t>
      </w:r>
      <w:r w:rsidRPr="00A464CD">
        <w:t>) occupait la 1</w:t>
      </w:r>
      <w:r w:rsidRPr="00A464CD">
        <w:rPr>
          <w:vertAlign w:val="superscript"/>
        </w:rPr>
        <w:t>ère</w:t>
      </w:r>
      <w:r w:rsidRPr="00A464CD">
        <w:t xml:space="preserve"> place, le 1</w:t>
      </w:r>
      <w:r w:rsidRPr="00A464CD">
        <w:rPr>
          <w:vertAlign w:val="superscript"/>
        </w:rPr>
        <w:t>er</w:t>
      </w:r>
      <w:r w:rsidRPr="00A464CD">
        <w:t xml:space="preserve"> (</w:t>
      </w:r>
      <w:r w:rsidRPr="00A464CD">
        <w:rPr>
          <w:dstrike/>
        </w:rPr>
        <w:t>f° 73-81</w:t>
      </w:r>
      <w:r w:rsidRPr="00A464CD">
        <w:t>) la seconde et le 2</w:t>
      </w:r>
      <w:r w:rsidRPr="00A464CD">
        <w:rPr>
          <w:vertAlign w:val="superscript"/>
        </w:rPr>
        <w:t>e</w:t>
      </w:r>
      <w:r w:rsidRPr="00A464CD">
        <w:t xml:space="preserve"> (</w:t>
      </w:r>
      <w:r w:rsidRPr="00A464CD">
        <w:rPr>
          <w:dstrike/>
        </w:rPr>
        <w:t>f° 83-86</w:t>
      </w:r>
      <w:r w:rsidRPr="00A464CD">
        <w:t>) la dernière. La recherche d’un ordre, à ce stade, est pour le moins prématuré. "</w:t>
      </w:r>
      <w:r w:rsidRPr="00A464CD">
        <w:rPr>
          <w:color w:val="000000"/>
        </w:rPr>
        <w:t xml:space="preserve">Hugo compose par panneaux séparés dont l'assemblage définitif ne se fait que pour la publication, à l'image des tacticiens qui réservent toujours la plus grande souplesse entre ce qu'ils appellent leur </w:t>
      </w:r>
      <w:r w:rsidRPr="00A464CD">
        <w:rPr>
          <w:i/>
          <w:color w:val="000000"/>
        </w:rPr>
        <w:t xml:space="preserve">intention </w:t>
      </w:r>
      <w:r w:rsidRPr="00A464CD">
        <w:rPr>
          <w:color w:val="000000"/>
        </w:rPr>
        <w:t xml:space="preserve">et ce qu'ils </w:t>
      </w:r>
      <w:r w:rsidRPr="00A464CD">
        <w:rPr>
          <w:color w:val="000000"/>
        </w:rPr>
        <w:lastRenderedPageBreak/>
        <w:t xml:space="preserve">nomment </w:t>
      </w:r>
      <w:r w:rsidRPr="00A464CD">
        <w:rPr>
          <w:i/>
          <w:color w:val="000000"/>
        </w:rPr>
        <w:t>la répartition des moyens et l'articulation des missions</w:t>
      </w:r>
      <w:r w:rsidRPr="00A464CD">
        <w:t>"</w:t>
      </w:r>
      <w:r w:rsidRPr="00A464CD">
        <w:rPr>
          <w:iCs/>
          <w:color w:val="000000"/>
        </w:rPr>
        <w:t xml:space="preserve"> (J</w:t>
      </w:r>
      <w:r w:rsidR="004F7340">
        <w:rPr>
          <w:iCs/>
          <w:color w:val="000000"/>
        </w:rPr>
        <w:t>acques</w:t>
      </w:r>
      <w:r w:rsidRPr="00A464CD">
        <w:rPr>
          <w:iCs/>
          <w:color w:val="000000"/>
        </w:rPr>
        <w:t xml:space="preserve"> </w:t>
      </w:r>
      <w:r w:rsidRPr="00A464CD">
        <w:rPr>
          <w:color w:val="000000"/>
        </w:rPr>
        <w:t>Seebacher, "</w:t>
      </w:r>
      <w:r w:rsidRPr="00A464CD">
        <w:rPr>
          <w:i/>
          <w:color w:val="000000"/>
        </w:rPr>
        <w:t>Esthétique et politique chez Victor Hugo</w:t>
      </w:r>
      <w:r w:rsidRPr="00A464CD">
        <w:rPr>
          <w:color w:val="000000"/>
        </w:rPr>
        <w:t>", p. 234</w:t>
      </w:r>
      <w:r w:rsidR="004F7340">
        <w:rPr>
          <w:color w:val="000000"/>
        </w:rPr>
        <w:t xml:space="preserve">, </w:t>
      </w:r>
      <w:hyperlink r:id="rId16" w:history="1">
        <w:r w:rsidR="004F7340" w:rsidRPr="004F7340">
          <w:rPr>
            <w:rStyle w:val="Lienhypertexte"/>
          </w:rPr>
          <w:sym w:font="Wingdings" w:char="F026"/>
        </w:r>
      </w:hyperlink>
      <w:r w:rsidRPr="00A464CD">
        <w:rPr>
          <w:color w:val="000000"/>
        </w:rPr>
        <w:t>, cité par B</w:t>
      </w:r>
      <w:r w:rsidR="004F7340">
        <w:rPr>
          <w:color w:val="000000"/>
        </w:rPr>
        <w:t>ernard</w:t>
      </w:r>
      <w:r w:rsidRPr="00A464CD">
        <w:rPr>
          <w:color w:val="000000"/>
        </w:rPr>
        <w:t xml:space="preserve"> Leuilliot, 1973, p. 451).</w:t>
      </w:r>
    </w:p>
    <w:p w:rsidR="00A464CD" w:rsidRPr="00A464CD" w:rsidRDefault="00A464CD" w:rsidP="00A464CD">
      <w:pPr>
        <w:jc w:val="both"/>
        <w:rPr>
          <w:color w:val="000000"/>
        </w:rPr>
      </w:pPr>
      <w:r w:rsidRPr="00A464CD">
        <w:rPr>
          <w:color w:val="000000"/>
        </w:rPr>
        <w:t xml:space="preserve">Où trouver, dans </w:t>
      </w:r>
      <w:r w:rsidRPr="00A464CD">
        <w:rPr>
          <w:i/>
          <w:color w:val="000000"/>
        </w:rPr>
        <w:t>William Shakespeare</w:t>
      </w:r>
      <w:r w:rsidRPr="00A464CD">
        <w:rPr>
          <w:color w:val="000000"/>
        </w:rPr>
        <w:t xml:space="preserve">, le </w:t>
      </w:r>
      <w:r w:rsidRPr="00A464CD">
        <w:t>"dossier du milieu" ? Il f</w:t>
      </w:r>
      <w:r w:rsidR="00C261AD">
        <w:t xml:space="preserve">orme, sans doute, le livre </w:t>
      </w:r>
      <w:r w:rsidRPr="00A464CD">
        <w:t xml:space="preserve">V de la deuxième partie : </w:t>
      </w:r>
      <w:r w:rsidRPr="00A464CD">
        <w:rPr>
          <w:i/>
        </w:rPr>
        <w:t>Les esprits et les masses.</w:t>
      </w:r>
    </w:p>
    <w:p w:rsidR="00A464CD" w:rsidRPr="00A464CD" w:rsidRDefault="00A464CD" w:rsidP="00A464CD">
      <w:pPr>
        <w:jc w:val="both"/>
      </w:pPr>
      <w:r w:rsidRPr="00A464CD">
        <w:t xml:space="preserve">Dans l’Edition dite de l’Imprimerie nationale, il figure dans le Reliquat de </w:t>
      </w:r>
      <w:r w:rsidRPr="00A464CD">
        <w:rPr>
          <w:i/>
        </w:rPr>
        <w:t>William Shakespeare</w:t>
      </w:r>
      <w:r w:rsidRPr="00A464CD">
        <w:t>, pp. 259-281 (</w:t>
      </w:r>
      <w:hyperlink r:id="rId17" w:history="1">
        <w:r w:rsidRPr="00A464CD">
          <w:rPr>
            <w:color w:val="0563C1" w:themeColor="hyperlink"/>
            <w:u w:val="single"/>
          </w:rPr>
          <w:sym w:font="Wingdings" w:char="F026"/>
        </w:r>
      </w:hyperlink>
      <w:r w:rsidRPr="00A464CD">
        <w:t>).</w:t>
      </w:r>
    </w:p>
    <w:p w:rsidR="00A464CD" w:rsidRPr="00A464CD" w:rsidRDefault="00A464CD" w:rsidP="00A464CD">
      <w:pPr>
        <w:jc w:val="both"/>
      </w:pPr>
    </w:p>
    <w:p w:rsidR="00A464CD" w:rsidRPr="00A464CD" w:rsidRDefault="00A464CD" w:rsidP="00A464CD">
      <w:pPr>
        <w:jc w:val="center"/>
      </w:pPr>
      <w:r w:rsidRPr="00A464CD">
        <w:t xml:space="preserve">*        </w:t>
      </w:r>
    </w:p>
    <w:p w:rsidR="00A464CD" w:rsidRPr="00A464CD" w:rsidRDefault="00A464CD" w:rsidP="00A464CD">
      <w:pPr>
        <w:overflowPunct/>
        <w:autoSpaceDE/>
        <w:autoSpaceDN/>
        <w:adjustRightInd/>
        <w:textAlignment w:val="auto"/>
      </w:pPr>
    </w:p>
    <w:p w:rsidR="00A464CD" w:rsidRPr="00A464CD" w:rsidRDefault="00A464CD" w:rsidP="00A464CD">
      <w:pPr>
        <w:jc w:val="both"/>
        <w:rPr>
          <w:b/>
          <w:bCs/>
        </w:rPr>
      </w:pPr>
      <w:r w:rsidRPr="00A464CD">
        <w:rPr>
          <w:b/>
          <w:bCs/>
          <w:highlight w:val="yellow"/>
        </w:rPr>
        <w:t>24 776 f° 85-87</w:t>
      </w:r>
      <w:r w:rsidRPr="00A464CD">
        <w:rPr>
          <w:b/>
          <w:bCs/>
        </w:rPr>
        <w:t> :</w:t>
      </w:r>
      <w:r w:rsidRPr="00A464CD">
        <w:rPr>
          <w:bCs/>
        </w:rPr>
        <w:t xml:space="preserve"> </w:t>
      </w:r>
      <w:r w:rsidRPr="00A464CD">
        <w:rPr>
          <w:b/>
          <w:bCs/>
        </w:rPr>
        <w:t>Beethoven.</w:t>
      </w:r>
    </w:p>
    <w:p w:rsidR="00A464CD" w:rsidRPr="00A464CD" w:rsidRDefault="00A464CD" w:rsidP="00A464CD">
      <w:pPr>
        <w:jc w:val="both"/>
        <w:rPr>
          <w:color w:val="000000"/>
        </w:rPr>
      </w:pPr>
      <w:r w:rsidRPr="00A464CD">
        <w:t xml:space="preserve">On trouvera, </w:t>
      </w:r>
      <w:r w:rsidRPr="00A464CD">
        <w:rPr>
          <w:i/>
        </w:rPr>
        <w:t>infra</w:t>
      </w:r>
      <w:r w:rsidRPr="00A464CD">
        <w:t>, dans la correspondance entre Victor Hugo et Albert Lacroix, la plaidoirie de ce dernier en faveur de l’introduction dans la liste des génies d’au moins un allemand : Goethe et/ou Schiller ? Victor Hugo répondra Beethoven. Ce court texte – très travaillé – aurait dû s’insérer à la suite</w:t>
      </w:r>
      <w:r w:rsidRPr="00A464CD">
        <w:rPr>
          <w:color w:val="000000"/>
        </w:rPr>
        <w:t xml:space="preserve"> de : </w:t>
      </w:r>
      <w:r w:rsidRPr="00A464CD">
        <w:rPr>
          <w:i/>
          <w:iCs/>
        </w:rPr>
        <w:t xml:space="preserve">William </w:t>
      </w:r>
      <w:r w:rsidRPr="00A464CD">
        <w:rPr>
          <w:i/>
        </w:rPr>
        <w:t>Shakespeare</w:t>
      </w:r>
      <w:r w:rsidRPr="00A464CD">
        <w:rPr>
          <w:iCs/>
        </w:rPr>
        <w:t xml:space="preserve">, I, 2, 4 (Cf. éd. Seebacher-Rosa 1985, p. 288). En effet, au début de ce fragment, figure, rayé, le dernier paragraphe du chapitre cité. </w:t>
      </w:r>
    </w:p>
    <w:p w:rsidR="00A464CD" w:rsidRPr="00A464CD" w:rsidRDefault="00A464CD" w:rsidP="00A464CD">
      <w:pPr>
        <w:jc w:val="both"/>
      </w:pPr>
      <w:r w:rsidRPr="00A464CD">
        <w:t xml:space="preserve">Dans l’Edition dite de l’Imprimerie nationale, ce texte figure dans le Reliquat de </w:t>
      </w:r>
      <w:r w:rsidRPr="00A464CD">
        <w:rPr>
          <w:i/>
        </w:rPr>
        <w:t>William Shakespeare</w:t>
      </w:r>
      <w:r w:rsidRPr="00A464CD">
        <w:t>, pp. 280-281 (</w:t>
      </w:r>
      <w:hyperlink r:id="rId18" w:history="1">
        <w:r w:rsidRPr="00A464CD">
          <w:rPr>
            <w:color w:val="0563C1" w:themeColor="hyperlink"/>
            <w:u w:val="single"/>
          </w:rPr>
          <w:sym w:font="Wingdings" w:char="F026"/>
        </w:r>
      </w:hyperlink>
      <w:r w:rsidRPr="00A464CD">
        <w:t xml:space="preserve">). Yves Gohin n’a pas retenu ce texte dans les </w:t>
      </w:r>
      <w:r w:rsidRPr="00A464CD">
        <w:rPr>
          <w:i/>
        </w:rPr>
        <w:t>Proses philosophiques de 1860-1865.</w:t>
      </w:r>
    </w:p>
    <w:p w:rsidR="00A464CD" w:rsidRPr="00A464CD" w:rsidRDefault="00A464CD" w:rsidP="00A464CD">
      <w:pPr>
        <w:jc w:val="both"/>
      </w:pPr>
    </w:p>
    <w:p w:rsidR="00A464CD" w:rsidRPr="00A464CD" w:rsidRDefault="00A464CD" w:rsidP="00A464CD">
      <w:pPr>
        <w:jc w:val="center"/>
      </w:pPr>
      <w:r w:rsidRPr="00A464CD">
        <w:t xml:space="preserve">*        </w:t>
      </w:r>
    </w:p>
    <w:p w:rsidR="00A464CD" w:rsidRPr="00A464CD" w:rsidRDefault="00A464CD" w:rsidP="00A464CD">
      <w:pPr>
        <w:overflowPunct/>
        <w:autoSpaceDE/>
        <w:autoSpaceDN/>
        <w:adjustRightInd/>
        <w:textAlignment w:val="auto"/>
      </w:pPr>
    </w:p>
    <w:p w:rsidR="00A464CD" w:rsidRPr="00A464CD" w:rsidRDefault="00A464CD" w:rsidP="00A464CD">
      <w:pPr>
        <w:rPr>
          <w:b/>
          <w:bCs/>
        </w:rPr>
      </w:pPr>
      <w:r w:rsidRPr="00A464CD">
        <w:rPr>
          <w:b/>
          <w:bCs/>
          <w:highlight w:val="yellow"/>
        </w:rPr>
        <w:t>24 776 f° 89-142</w:t>
      </w:r>
      <w:r w:rsidRPr="00A464CD">
        <w:rPr>
          <w:b/>
          <w:bCs/>
        </w:rPr>
        <w:t> :</w:t>
      </w:r>
      <w:r w:rsidRPr="00A464CD">
        <w:rPr>
          <w:bCs/>
        </w:rPr>
        <w:t xml:space="preserve"> </w:t>
      </w:r>
      <w:r w:rsidRPr="00A464CD">
        <w:rPr>
          <w:b/>
          <w:bCs/>
        </w:rPr>
        <w:t>Promontorium somnii.</w:t>
      </w:r>
    </w:p>
    <w:p w:rsidR="00A464CD" w:rsidRPr="00A464CD" w:rsidRDefault="006A2E5C" w:rsidP="00A464CD">
      <w:pPr>
        <w:jc w:val="both"/>
        <w:rPr>
          <w:bCs/>
        </w:rPr>
      </w:pPr>
      <w:r w:rsidRPr="00A464CD">
        <w:rPr>
          <w:bCs/>
        </w:rPr>
        <w:t xml:space="preserve">Un des trois textes </w:t>
      </w:r>
      <w:r w:rsidRPr="00A464CD">
        <w:rPr>
          <w:bCs/>
          <w:i/>
        </w:rPr>
        <w:t>homogènes</w:t>
      </w:r>
      <w:r>
        <w:rPr>
          <w:bCs/>
          <w:i/>
        </w:rPr>
        <w:t>.</w:t>
      </w:r>
      <w:r w:rsidRPr="00A464CD">
        <w:rPr>
          <w:bCs/>
        </w:rPr>
        <w:t xml:space="preserve"> </w:t>
      </w:r>
      <w:r w:rsidR="00A464CD" w:rsidRPr="00A464CD">
        <w:rPr>
          <w:bCs/>
        </w:rPr>
        <w:t xml:space="preserve">Il existe une édition critique de ce texte factice : </w:t>
      </w:r>
      <w:r w:rsidR="00A464CD" w:rsidRPr="00A464CD">
        <w:rPr>
          <w:bCs/>
          <w:i/>
        </w:rPr>
        <w:t>Promontorium somnii -</w:t>
      </w:r>
      <w:r w:rsidR="00A464CD" w:rsidRPr="00A464CD">
        <w:rPr>
          <w:bCs/>
        </w:rPr>
        <w:t xml:space="preserve"> Paris : Annales littéraires de l’Université de Besançon, vol. 42 ; Les Belles Lettres, 1961, 199-[4-5] pp. ; 25 cm. On la doit à René Journet et Guy Robert. D’une richesse et d’une rigueur indépassable. En conséquence, nous renvoyons à cette édition. Cf. quelques extraits sur le site GOOGLE BOOKS (</w:t>
      </w:r>
      <w:hyperlink r:id="rId19" w:anchor="v=onepage&amp;q&amp;f=false" w:history="1">
        <w:r w:rsidR="00A464CD" w:rsidRPr="00A464CD">
          <w:rPr>
            <w:bCs/>
            <w:color w:val="0563C1" w:themeColor="hyperlink"/>
            <w:u w:val="single"/>
          </w:rPr>
          <w:sym w:font="Wingdings" w:char="F026"/>
        </w:r>
      </w:hyperlink>
      <w:r w:rsidR="00A464CD" w:rsidRPr="00A464CD">
        <w:rPr>
          <w:bCs/>
        </w:rPr>
        <w:t xml:space="preserve">). Rappelons seulement que ce texte avait été publié très partiellement, par Paul Meurice, dans un recueil factice intitulé : </w:t>
      </w:r>
      <w:r w:rsidR="00A464CD" w:rsidRPr="006A2E5C">
        <w:rPr>
          <w:bCs/>
          <w:i/>
        </w:rPr>
        <w:t>Post-scriptum de ma vie</w:t>
      </w:r>
      <w:r w:rsidR="00A464CD" w:rsidRPr="00A464CD">
        <w:rPr>
          <w:bCs/>
        </w:rPr>
        <w:t xml:space="preserve"> - </w:t>
      </w:r>
      <w:r w:rsidR="00A464CD" w:rsidRPr="00A464CD">
        <w:rPr>
          <w:bCs/>
          <w:color w:val="000000"/>
        </w:rPr>
        <w:t>Paris : Calmann Lévy (impr. réunies Motteroz), 1901, in-8 de III-272 pp. – il occupe, dans ce volume, les pp. 97 à 148 (</w:t>
      </w:r>
      <w:hyperlink r:id="rId20" w:anchor="page/96/mode/2up" w:history="1">
        <w:r w:rsidR="00A464CD" w:rsidRPr="00A464CD">
          <w:rPr>
            <w:bCs/>
            <w:color w:val="0563C1" w:themeColor="hyperlink"/>
            <w:u w:val="single"/>
          </w:rPr>
          <w:sym w:font="Wingdings" w:char="F026"/>
        </w:r>
      </w:hyperlink>
      <w:r w:rsidR="00A464CD" w:rsidRPr="00A464CD">
        <w:rPr>
          <w:bCs/>
          <w:color w:val="000000"/>
        </w:rPr>
        <w:t>) – et intégralement</w:t>
      </w:r>
      <w:r w:rsidR="00A464CD" w:rsidRPr="00A464CD">
        <w:t xml:space="preserve"> dans l’Edition dite de l’Imprimerie nationale, dans le Reliquat de </w:t>
      </w:r>
      <w:r w:rsidR="00A464CD" w:rsidRPr="00A464CD">
        <w:rPr>
          <w:i/>
        </w:rPr>
        <w:t>William Shakespeare</w:t>
      </w:r>
      <w:r w:rsidR="00A464CD" w:rsidRPr="00A464CD">
        <w:t>, pp. 297-326 (</w:t>
      </w:r>
      <w:hyperlink r:id="rId21" w:history="1">
        <w:r w:rsidR="00A464CD" w:rsidRPr="00A464CD">
          <w:rPr>
            <w:color w:val="0563C1" w:themeColor="hyperlink"/>
            <w:u w:val="single"/>
          </w:rPr>
          <w:sym w:font="Wingdings" w:char="F026"/>
        </w:r>
      </w:hyperlink>
      <w:r w:rsidR="00A464CD" w:rsidRPr="00A464CD">
        <w:t>).</w:t>
      </w:r>
      <w:r w:rsidR="00A464CD" w:rsidRPr="00A464CD">
        <w:rPr>
          <w:bCs/>
        </w:rPr>
        <w:t xml:space="preserve"> </w:t>
      </w:r>
    </w:p>
    <w:p w:rsidR="00A464CD" w:rsidRPr="00A464CD" w:rsidRDefault="00A464CD" w:rsidP="00A464CD">
      <w:pPr>
        <w:jc w:val="both"/>
      </w:pPr>
    </w:p>
    <w:p w:rsidR="00A464CD" w:rsidRPr="00A464CD" w:rsidRDefault="00A464CD" w:rsidP="00A464CD">
      <w:pPr>
        <w:jc w:val="center"/>
      </w:pPr>
      <w:r w:rsidRPr="00A464CD">
        <w:t xml:space="preserve">*        </w:t>
      </w:r>
    </w:p>
    <w:p w:rsidR="00A464CD" w:rsidRPr="00A464CD" w:rsidRDefault="00A464CD" w:rsidP="00A464CD">
      <w:pPr>
        <w:overflowPunct/>
        <w:autoSpaceDE/>
        <w:autoSpaceDN/>
        <w:adjustRightInd/>
        <w:textAlignment w:val="auto"/>
      </w:pPr>
    </w:p>
    <w:p w:rsidR="00A464CD" w:rsidRPr="00A464CD" w:rsidRDefault="00A464CD" w:rsidP="00A464CD">
      <w:pPr>
        <w:rPr>
          <w:b/>
          <w:bCs/>
        </w:rPr>
      </w:pPr>
      <w:r w:rsidRPr="00A464CD">
        <w:rPr>
          <w:b/>
          <w:bCs/>
          <w:highlight w:val="yellow"/>
        </w:rPr>
        <w:t>24 776 f° 146-151</w:t>
      </w:r>
      <w:r w:rsidRPr="00A464CD">
        <w:rPr>
          <w:b/>
          <w:bCs/>
        </w:rPr>
        <w:t> :</w:t>
      </w:r>
      <w:r w:rsidRPr="00A464CD">
        <w:t xml:space="preserve"> </w:t>
      </w:r>
      <w:r w:rsidRPr="00A464CD">
        <w:rPr>
          <w:b/>
          <w:bCs/>
        </w:rPr>
        <w:t>La Bible - L'Angleterre.</w:t>
      </w:r>
    </w:p>
    <w:p w:rsidR="00A464CD" w:rsidRPr="00A464CD" w:rsidRDefault="00A464CD" w:rsidP="00A464CD">
      <w:pPr>
        <w:jc w:val="both"/>
        <w:rPr>
          <w:bCs/>
        </w:rPr>
      </w:pPr>
      <w:r w:rsidRPr="00A464CD">
        <w:rPr>
          <w:bCs/>
        </w:rPr>
        <w:t xml:space="preserve">Un des trois textes </w:t>
      </w:r>
      <w:r w:rsidRPr="00A464CD">
        <w:rPr>
          <w:bCs/>
          <w:i/>
        </w:rPr>
        <w:t>homogènes</w:t>
      </w:r>
      <w:r w:rsidRPr="00A464CD">
        <w:rPr>
          <w:bCs/>
        </w:rPr>
        <w:t xml:space="preserve"> (unité de papier et unité de graphie du premier jet). Il commence par un alinéa, biffé : « </w:t>
      </w:r>
      <w:r w:rsidRPr="00A464CD">
        <w:rPr>
          <w:i/>
          <w:iCs/>
        </w:rPr>
        <w:t>Quand on pense à l’Angleterre, deux livres viennent à l’esprit, […]. La Bible combat Shakespeare</w:t>
      </w:r>
      <w:r w:rsidRPr="00A464CD">
        <w:rPr>
          <w:iCs/>
        </w:rPr>
        <w:t xml:space="preserve"> » qui reproduit le sixième alinéa de </w:t>
      </w:r>
      <w:r w:rsidRPr="00A464CD">
        <w:rPr>
          <w:i/>
          <w:iCs/>
        </w:rPr>
        <w:t>William Shakespeare,</w:t>
      </w:r>
      <w:r w:rsidRPr="00A464CD">
        <w:rPr>
          <w:iCs/>
        </w:rPr>
        <w:t xml:space="preserve"> III, i, 3 (cf. éd. Seebacher-Rosa 1985, p. 422) et signifie ainsi que Victor Hugo avait, un instant, pensé à introduire en ce point, le texte sous examen</w:t>
      </w:r>
      <w:r w:rsidRPr="00A464CD">
        <w:rPr>
          <w:i/>
          <w:iCs/>
        </w:rPr>
        <w:t>.</w:t>
      </w:r>
      <w:r w:rsidRPr="00A464CD">
        <w:t xml:space="preserve"> </w:t>
      </w:r>
      <w:r w:rsidRPr="00A464CD">
        <w:rPr>
          <w:bCs/>
        </w:rPr>
        <w:t xml:space="preserve"> </w:t>
      </w:r>
    </w:p>
    <w:p w:rsidR="00A464CD" w:rsidRPr="00A464CD" w:rsidRDefault="00A464CD" w:rsidP="00A464CD">
      <w:pPr>
        <w:jc w:val="both"/>
      </w:pPr>
      <w:r w:rsidRPr="00A464CD">
        <w:t xml:space="preserve">Dans l’Edition dite de l’Imprimerie nationale, ce texte figure dans le Reliquat de </w:t>
      </w:r>
      <w:r w:rsidRPr="00A464CD">
        <w:rPr>
          <w:i/>
        </w:rPr>
        <w:t>William Shakespeare</w:t>
      </w:r>
      <w:r w:rsidRPr="00A464CD">
        <w:t>, pp. 333-336 (</w:t>
      </w:r>
      <w:hyperlink r:id="rId22" w:history="1">
        <w:r w:rsidRPr="00A464CD">
          <w:rPr>
            <w:color w:val="0563C1" w:themeColor="hyperlink"/>
            <w:u w:val="single"/>
          </w:rPr>
          <w:sym w:font="Wingdings" w:char="F026"/>
        </w:r>
      </w:hyperlink>
      <w:r w:rsidRPr="00A464CD">
        <w:t>).</w:t>
      </w:r>
    </w:p>
    <w:p w:rsidR="00A464CD" w:rsidRPr="00A464CD" w:rsidRDefault="00A464CD" w:rsidP="00A464CD">
      <w:pPr>
        <w:jc w:val="both"/>
      </w:pPr>
    </w:p>
    <w:p w:rsidR="00A464CD" w:rsidRPr="00A464CD" w:rsidRDefault="00A464CD" w:rsidP="00A464CD">
      <w:pPr>
        <w:jc w:val="center"/>
      </w:pPr>
      <w:r w:rsidRPr="00A464CD">
        <w:t>*</w:t>
      </w:r>
    </w:p>
    <w:p w:rsidR="00A464CD" w:rsidRPr="00A464CD" w:rsidRDefault="00A464CD" w:rsidP="00A464CD">
      <w:pPr>
        <w:jc w:val="center"/>
      </w:pPr>
      <w:r w:rsidRPr="00A464CD">
        <w:t xml:space="preserve">        </w:t>
      </w:r>
    </w:p>
    <w:p w:rsidR="00A464CD" w:rsidRPr="00A464CD" w:rsidRDefault="00A464CD" w:rsidP="00A464CD">
      <w:pPr>
        <w:rPr>
          <w:b/>
          <w:bCs/>
        </w:rPr>
      </w:pPr>
      <w:r w:rsidRPr="00A464CD">
        <w:rPr>
          <w:b/>
          <w:bCs/>
          <w:highlight w:val="yellow"/>
        </w:rPr>
        <w:t>24 776 f° 152-166</w:t>
      </w:r>
      <w:r w:rsidRPr="00A464CD">
        <w:rPr>
          <w:b/>
          <w:bCs/>
        </w:rPr>
        <w:t> :</w:t>
      </w:r>
      <w:r w:rsidRPr="00A464CD">
        <w:t xml:space="preserve"> </w:t>
      </w:r>
      <w:r w:rsidRPr="00A464CD">
        <w:rPr>
          <w:b/>
          <w:bCs/>
        </w:rPr>
        <w:t>Le tyran.</w:t>
      </w:r>
    </w:p>
    <w:p w:rsidR="00A464CD" w:rsidRPr="00A464CD" w:rsidRDefault="00A464CD" w:rsidP="00A464CD">
      <w:pPr>
        <w:jc w:val="both"/>
        <w:rPr>
          <w:bCs/>
        </w:rPr>
      </w:pPr>
      <w:r w:rsidRPr="00A464CD">
        <w:rPr>
          <w:bCs/>
        </w:rPr>
        <w:t xml:space="preserve">Les éditeurs de l’IN divisent ce fragment en deux parties (f° 153 à 159 puis f° 161 à 166) par une page blanche (f° 160) ; une fois encore, ils négligent les différences de graphie, alors qu’il convient, selon ce </w:t>
      </w:r>
      <w:r w:rsidR="006A2E5C">
        <w:rPr>
          <w:bCs/>
        </w:rPr>
        <w:t xml:space="preserve">dernier </w:t>
      </w:r>
      <w:r w:rsidRPr="00A464CD">
        <w:rPr>
          <w:bCs/>
        </w:rPr>
        <w:t xml:space="preserve">critère, de distinguer, dans la première partie, les f° 158-159 des précédents. Et cela ne serait d’ailleurs pas la seule raison d’individualiser </w:t>
      </w:r>
      <w:r w:rsidR="006A2E5C">
        <w:rPr>
          <w:bCs/>
        </w:rPr>
        <w:t xml:space="preserve">cette </w:t>
      </w:r>
      <w:r w:rsidRPr="00A464CD">
        <w:rPr>
          <w:bCs/>
        </w:rPr>
        <w:t xml:space="preserve">section II. D’où la proposition de découpage suivante.   </w:t>
      </w:r>
    </w:p>
    <w:p w:rsidR="00A464CD" w:rsidRPr="00A464CD" w:rsidRDefault="00A464CD" w:rsidP="00A464CD">
      <w:pPr>
        <w:numPr>
          <w:ilvl w:val="0"/>
          <w:numId w:val="5"/>
        </w:numPr>
        <w:contextualSpacing/>
        <w:jc w:val="both"/>
        <w:rPr>
          <w:bCs/>
        </w:rPr>
      </w:pPr>
      <w:r w:rsidRPr="00A464CD">
        <w:rPr>
          <w:bCs/>
        </w:rPr>
        <w:t xml:space="preserve">f° 153 à 157 : de </w:t>
      </w:r>
      <w:r w:rsidRPr="00A464CD">
        <w:t>"</w:t>
      </w:r>
      <w:r w:rsidRPr="00A464CD">
        <w:rPr>
          <w:i/>
        </w:rPr>
        <w:t>Il existe des sceptiques …</w:t>
      </w:r>
      <w:r w:rsidRPr="00A464CD">
        <w:t>" à "</w:t>
      </w:r>
      <w:r w:rsidRPr="00A464CD">
        <w:rPr>
          <w:i/>
        </w:rPr>
        <w:t>en finir avec les monstres ?</w:t>
      </w:r>
      <w:r w:rsidRPr="00A464CD">
        <w:t xml:space="preserve">" </w:t>
      </w:r>
      <w:r w:rsidRPr="00A464CD">
        <w:tab/>
        <w:t xml:space="preserve">          </w:t>
      </w:r>
      <w:r w:rsidRPr="00A464CD">
        <w:tab/>
        <w:t xml:space="preserve">            613-615</w:t>
      </w:r>
    </w:p>
    <w:p w:rsidR="00A464CD" w:rsidRPr="00A464CD" w:rsidRDefault="00A464CD" w:rsidP="00A464CD">
      <w:pPr>
        <w:numPr>
          <w:ilvl w:val="0"/>
          <w:numId w:val="5"/>
        </w:numPr>
        <w:contextualSpacing/>
        <w:jc w:val="both"/>
        <w:rPr>
          <w:bCs/>
        </w:rPr>
      </w:pPr>
      <w:r w:rsidRPr="00A464CD">
        <w:rPr>
          <w:bCs/>
        </w:rPr>
        <w:t xml:space="preserve">f° 158 à 159 : de </w:t>
      </w:r>
      <w:r w:rsidRPr="00A464CD">
        <w:t>"</w:t>
      </w:r>
      <w:r w:rsidRPr="00A464CD">
        <w:rPr>
          <w:i/>
        </w:rPr>
        <w:t>Chose frappante, les tyrans …</w:t>
      </w:r>
      <w:r w:rsidRPr="00A464CD">
        <w:t>" à "</w:t>
      </w:r>
      <w:r w:rsidRPr="00A464CD">
        <w:rPr>
          <w:i/>
        </w:rPr>
        <w:t>… auraient dû crier gare.</w:t>
      </w:r>
      <w:r w:rsidRPr="00A464CD">
        <w:t>"                                 615</w:t>
      </w:r>
    </w:p>
    <w:p w:rsidR="006A2E5C" w:rsidRDefault="00A464CD" w:rsidP="00A464CD">
      <w:pPr>
        <w:ind w:left="1416"/>
        <w:jc w:val="both"/>
        <w:rPr>
          <w:bCs/>
          <w:i/>
          <w:sz w:val="16"/>
          <w:szCs w:val="16"/>
        </w:rPr>
      </w:pPr>
      <w:r w:rsidRPr="00A464CD">
        <w:rPr>
          <w:bCs/>
          <w:sz w:val="16"/>
          <w:szCs w:val="16"/>
        </w:rPr>
        <w:t xml:space="preserve">Une section clairement identifiable par sa graphie différente de celle du fragment précédent et de celle du fragment suivant. On peut la supposer </w:t>
      </w:r>
      <w:r w:rsidRPr="00A464CD">
        <w:rPr>
          <w:bCs/>
          <w:color w:val="000000"/>
          <w:sz w:val="16"/>
          <w:szCs w:val="16"/>
        </w:rPr>
        <w:t>"</w:t>
      </w:r>
      <w:r w:rsidRPr="00A464CD">
        <w:rPr>
          <w:bCs/>
          <w:sz w:val="16"/>
          <w:szCs w:val="16"/>
        </w:rPr>
        <w:t xml:space="preserve">tombée du </w:t>
      </w:r>
      <w:r w:rsidRPr="00A464CD">
        <w:rPr>
          <w:bCs/>
          <w:i/>
          <w:sz w:val="16"/>
          <w:szCs w:val="16"/>
        </w:rPr>
        <w:t>William Shakespeare</w:t>
      </w:r>
      <w:r w:rsidRPr="00A464CD">
        <w:rPr>
          <w:bCs/>
          <w:color w:val="000000"/>
          <w:sz w:val="16"/>
          <w:szCs w:val="16"/>
        </w:rPr>
        <w:t xml:space="preserve">" car son dernier §, rayé énergiquement, est repris </w:t>
      </w:r>
      <w:r w:rsidRPr="00A464CD">
        <w:rPr>
          <w:sz w:val="16"/>
          <w:szCs w:val="16"/>
        </w:rPr>
        <w:t xml:space="preserve">dans </w:t>
      </w:r>
      <w:r w:rsidRPr="00A464CD">
        <w:rPr>
          <w:i/>
          <w:iCs/>
          <w:sz w:val="16"/>
          <w:szCs w:val="16"/>
        </w:rPr>
        <w:t>William Shakespeare</w:t>
      </w:r>
      <w:r w:rsidRPr="00A464CD">
        <w:rPr>
          <w:sz w:val="16"/>
          <w:szCs w:val="16"/>
        </w:rPr>
        <w:t>, au début de II, VI, [</w:t>
      </w:r>
      <w:r w:rsidRPr="00A464CD">
        <w:rPr>
          <w:i/>
          <w:iCs/>
          <w:sz w:val="16"/>
          <w:szCs w:val="16"/>
        </w:rPr>
        <w:t>Le beau serviteur du vrai</w:t>
      </w:r>
      <w:r w:rsidRPr="00A464CD">
        <w:rPr>
          <w:sz w:val="16"/>
          <w:szCs w:val="16"/>
        </w:rPr>
        <w:t xml:space="preserve">] 3. (Cf. éd. Seebacher-Rosa 1985, p. 405). Le fragment semble même avoir été </w:t>
      </w:r>
      <w:r w:rsidRPr="00A464CD">
        <w:rPr>
          <w:bCs/>
          <w:color w:val="000000"/>
          <w:sz w:val="16"/>
          <w:szCs w:val="16"/>
        </w:rPr>
        <w:t xml:space="preserve">délibérément écarté puisqu’on lit en add. m. g : </w:t>
      </w:r>
      <w:r w:rsidRPr="00A464CD">
        <w:rPr>
          <w:bCs/>
          <w:i/>
          <w:sz w:val="16"/>
          <w:szCs w:val="16"/>
        </w:rPr>
        <w:t>A mettre ailleurs.</w:t>
      </w:r>
    </w:p>
    <w:p w:rsidR="00A464CD" w:rsidRPr="006A2E5C" w:rsidRDefault="00A464CD" w:rsidP="00A464CD">
      <w:pPr>
        <w:ind w:left="1416"/>
        <w:jc w:val="both"/>
        <w:rPr>
          <w:bCs/>
          <w:sz w:val="12"/>
          <w:szCs w:val="12"/>
        </w:rPr>
      </w:pPr>
      <w:r w:rsidRPr="006A2E5C">
        <w:rPr>
          <w:bCs/>
          <w:color w:val="000000"/>
          <w:sz w:val="12"/>
          <w:szCs w:val="12"/>
        </w:rPr>
        <w:t xml:space="preserve"> </w:t>
      </w:r>
      <w:r w:rsidRPr="006A2E5C">
        <w:rPr>
          <w:bCs/>
          <w:sz w:val="12"/>
          <w:szCs w:val="12"/>
        </w:rPr>
        <w:t xml:space="preserve"> </w:t>
      </w:r>
    </w:p>
    <w:p w:rsidR="00A464CD" w:rsidRPr="00A464CD" w:rsidRDefault="00A464CD" w:rsidP="00A464CD">
      <w:pPr>
        <w:numPr>
          <w:ilvl w:val="0"/>
          <w:numId w:val="5"/>
        </w:numPr>
        <w:contextualSpacing/>
        <w:jc w:val="both"/>
        <w:rPr>
          <w:bCs/>
        </w:rPr>
      </w:pPr>
      <w:r w:rsidRPr="00A464CD">
        <w:rPr>
          <w:bCs/>
        </w:rPr>
        <w:t>f° 16</w:t>
      </w:r>
      <w:r w:rsidR="006A2E5C">
        <w:rPr>
          <w:bCs/>
        </w:rPr>
        <w:t>1</w:t>
      </w:r>
      <w:r w:rsidRPr="00A464CD">
        <w:rPr>
          <w:bCs/>
        </w:rPr>
        <w:t xml:space="preserve"> à 166 : de </w:t>
      </w:r>
      <w:r w:rsidRPr="00A464CD">
        <w:t>"</w:t>
      </w:r>
      <w:r w:rsidRPr="00A464CD">
        <w:rPr>
          <w:i/>
        </w:rPr>
        <w:t>L’âme parfois pèse…</w:t>
      </w:r>
      <w:r w:rsidRPr="00A464CD">
        <w:t>" à "</w:t>
      </w:r>
      <w:r w:rsidRPr="00A464CD">
        <w:rPr>
          <w:i/>
        </w:rPr>
        <w:t>… je vois là-bas dans la nuée !</w:t>
      </w:r>
      <w:r w:rsidRPr="00A464CD">
        <w:t>"                                615-618</w:t>
      </w:r>
    </w:p>
    <w:p w:rsidR="00A464CD" w:rsidRPr="00A464CD" w:rsidRDefault="00A464CD" w:rsidP="00A464CD">
      <w:pPr>
        <w:ind w:left="1416"/>
        <w:jc w:val="both"/>
        <w:rPr>
          <w:bCs/>
          <w:sz w:val="16"/>
          <w:szCs w:val="16"/>
        </w:rPr>
      </w:pPr>
      <w:r w:rsidRPr="00A464CD">
        <w:rPr>
          <w:bCs/>
          <w:sz w:val="16"/>
          <w:szCs w:val="16"/>
        </w:rPr>
        <w:t xml:space="preserve">Cette section 3 offre beaucoup de traits communs avec la section 1 : notamment la graphie. Malgré cela, les éditeurs de l’I.N. avaient, dans un premier mouvement, écarté ce fragment des deux précédents dont la numérotation initiale allait de 142 à 149 alors que la section 3 était alors rejetée aux numéros 164 à 169. </w:t>
      </w:r>
    </w:p>
    <w:p w:rsidR="00A464CD" w:rsidRPr="00A464CD" w:rsidRDefault="00A464CD" w:rsidP="00A464CD">
      <w:pPr>
        <w:jc w:val="both"/>
      </w:pPr>
      <w:r w:rsidRPr="00A464CD">
        <w:t xml:space="preserve">Dans l’Edition dite de l’Imprimerie nationale, ce texte figure dans le Reliquat de </w:t>
      </w:r>
      <w:r w:rsidRPr="00A464CD">
        <w:rPr>
          <w:i/>
        </w:rPr>
        <w:t>William Shakespeare</w:t>
      </w:r>
      <w:r w:rsidRPr="00A464CD">
        <w:t>, pp. 327-332 (</w:t>
      </w:r>
      <w:hyperlink r:id="rId23" w:history="1">
        <w:r w:rsidRPr="00A464CD">
          <w:rPr>
            <w:color w:val="0563C1" w:themeColor="hyperlink"/>
            <w:u w:val="single"/>
          </w:rPr>
          <w:sym w:font="Wingdings" w:char="F026"/>
        </w:r>
      </w:hyperlink>
      <w:r w:rsidRPr="00A464CD">
        <w:t>).</w:t>
      </w:r>
    </w:p>
    <w:p w:rsidR="00A464CD" w:rsidRDefault="00A464CD" w:rsidP="00A464CD">
      <w:pPr>
        <w:jc w:val="both"/>
      </w:pPr>
    </w:p>
    <w:p w:rsidR="00B658D2" w:rsidRPr="00A464CD" w:rsidRDefault="00B658D2" w:rsidP="00A464CD">
      <w:pPr>
        <w:jc w:val="both"/>
      </w:pPr>
    </w:p>
    <w:p w:rsidR="00A464CD" w:rsidRPr="00A464CD" w:rsidRDefault="00A464CD" w:rsidP="00A464CD">
      <w:pPr>
        <w:jc w:val="center"/>
      </w:pPr>
      <w:r w:rsidRPr="00A464CD">
        <w:lastRenderedPageBreak/>
        <w:t xml:space="preserve">* </w:t>
      </w:r>
    </w:p>
    <w:p w:rsidR="00A464CD" w:rsidRPr="00A464CD" w:rsidRDefault="00A464CD" w:rsidP="00A464CD">
      <w:pPr>
        <w:jc w:val="center"/>
      </w:pPr>
      <w:r w:rsidRPr="00A464CD">
        <w:t xml:space="preserve">       </w:t>
      </w:r>
    </w:p>
    <w:p w:rsidR="00A464CD" w:rsidRPr="00A464CD" w:rsidRDefault="00A464CD" w:rsidP="00A464CD">
      <w:pPr>
        <w:jc w:val="both"/>
        <w:rPr>
          <w:b/>
          <w:bCs/>
        </w:rPr>
      </w:pPr>
      <w:r w:rsidRPr="00A464CD">
        <w:rPr>
          <w:b/>
          <w:bCs/>
          <w:highlight w:val="yellow"/>
        </w:rPr>
        <w:t>24 776 f° 168-170 ; 231-233 ; 171-206</w:t>
      </w:r>
      <w:r w:rsidRPr="00A464CD">
        <w:rPr>
          <w:b/>
          <w:bCs/>
        </w:rPr>
        <w:t> :</w:t>
      </w:r>
      <w:r w:rsidRPr="00A464CD">
        <w:t xml:space="preserve"> [</w:t>
      </w:r>
      <w:r w:rsidRPr="00A464CD">
        <w:rPr>
          <w:b/>
          <w:bCs/>
        </w:rPr>
        <w:t>Les traducteurs].</w:t>
      </w:r>
    </w:p>
    <w:p w:rsidR="00A464CD" w:rsidRPr="00A464CD" w:rsidRDefault="00A464CD" w:rsidP="00A464CD">
      <w:pPr>
        <w:jc w:val="both"/>
        <w:rPr>
          <w:bCs/>
        </w:rPr>
      </w:pPr>
      <w:r w:rsidRPr="00A464CD">
        <w:rPr>
          <w:bCs/>
        </w:rPr>
        <w:t xml:space="preserve">Ce texte est important et est très souvent étudié pour lui-même, indépendamment des autres textes. Au cours des dernières années, il a connu de nombreuses traductions espagnoles et anglaises et figure dans des recueils consacrés à des études sur la traduction. Reste que sa construction apparait fragile ; il est extrêmement composite. On ne distingue pas moins de 10 sections.   </w:t>
      </w:r>
    </w:p>
    <w:p w:rsidR="00A464CD" w:rsidRPr="00A464CD" w:rsidRDefault="00A464CD" w:rsidP="00A464CD">
      <w:pPr>
        <w:jc w:val="both"/>
        <w:rPr>
          <w:b/>
          <w:bCs/>
        </w:rPr>
      </w:pPr>
    </w:p>
    <w:p w:rsidR="00A464CD" w:rsidRPr="00A464CD" w:rsidRDefault="00A464CD" w:rsidP="00A464CD">
      <w:pPr>
        <w:numPr>
          <w:ilvl w:val="0"/>
          <w:numId w:val="8"/>
        </w:numPr>
        <w:contextualSpacing/>
        <w:jc w:val="both"/>
        <w:rPr>
          <w:bCs/>
        </w:rPr>
      </w:pPr>
      <w:r w:rsidRPr="00A464CD">
        <w:rPr>
          <w:bCs/>
        </w:rPr>
        <w:t xml:space="preserve">f° 168 et 169 : de </w:t>
      </w:r>
      <w:r w:rsidRPr="00A464CD">
        <w:t>"</w:t>
      </w:r>
      <w:r w:rsidRPr="00A464CD">
        <w:rPr>
          <w:bCs/>
          <w:i/>
        </w:rPr>
        <w:t>La tombe finit toujours…</w:t>
      </w:r>
      <w:r w:rsidRPr="00A464CD">
        <w:t>" à "…</w:t>
      </w:r>
      <w:r w:rsidRPr="00A464CD">
        <w:rPr>
          <w:i/>
        </w:rPr>
        <w:t>cette majestueuse entrée.</w:t>
      </w:r>
      <w:r w:rsidRPr="00A464CD">
        <w:t xml:space="preserve">" </w:t>
      </w:r>
      <w:r w:rsidRPr="00A464CD">
        <w:tab/>
        <w:t xml:space="preserve">                                 618</w:t>
      </w:r>
    </w:p>
    <w:p w:rsidR="00A464CD" w:rsidRPr="00A464CD" w:rsidRDefault="00A464CD" w:rsidP="00A464CD">
      <w:pPr>
        <w:numPr>
          <w:ilvl w:val="0"/>
          <w:numId w:val="8"/>
        </w:numPr>
        <w:contextualSpacing/>
        <w:jc w:val="both"/>
        <w:rPr>
          <w:bCs/>
          <w:sz w:val="22"/>
          <w:szCs w:val="22"/>
        </w:rPr>
      </w:pPr>
      <w:r w:rsidRPr="00A464CD">
        <w:rPr>
          <w:bCs/>
        </w:rPr>
        <w:t xml:space="preserve">f° 170 : de </w:t>
      </w:r>
      <w:r w:rsidRPr="00A464CD">
        <w:t>"</w:t>
      </w:r>
      <w:r w:rsidRPr="00A464CD">
        <w:rPr>
          <w:i/>
        </w:rPr>
        <w:t>Shakespeare, c’est le sauvage…</w:t>
      </w:r>
      <w:r w:rsidRPr="00A464CD">
        <w:t>" à "</w:t>
      </w:r>
      <w:r w:rsidRPr="00A464CD">
        <w:rPr>
          <w:i/>
        </w:rPr>
        <w:t>Ces fleurs prouvent la profondeur.</w:t>
      </w:r>
      <w:r w:rsidRPr="00A464CD">
        <w:t>"                  618-619</w:t>
      </w:r>
    </w:p>
    <w:p w:rsidR="00A464CD" w:rsidRPr="00A464CD" w:rsidRDefault="00A464CD" w:rsidP="00A464CD">
      <w:pPr>
        <w:ind w:left="1416"/>
        <w:contextualSpacing/>
        <w:jc w:val="both"/>
        <w:rPr>
          <w:bCs/>
          <w:sz w:val="16"/>
          <w:szCs w:val="16"/>
        </w:rPr>
      </w:pPr>
      <w:r w:rsidRPr="00A464CD">
        <w:rPr>
          <w:sz w:val="16"/>
          <w:szCs w:val="16"/>
        </w:rPr>
        <w:t xml:space="preserve">Ce fragment est </w:t>
      </w:r>
      <w:r w:rsidRPr="00A464CD">
        <w:rPr>
          <w:bCs/>
          <w:color w:val="000000"/>
          <w:sz w:val="16"/>
          <w:szCs w:val="16"/>
        </w:rPr>
        <w:t xml:space="preserve">"tombé du </w:t>
      </w:r>
      <w:r w:rsidRPr="00A464CD">
        <w:rPr>
          <w:bCs/>
          <w:i/>
          <w:color w:val="000000"/>
          <w:sz w:val="16"/>
          <w:szCs w:val="16"/>
        </w:rPr>
        <w:t>William Shakespeare</w:t>
      </w:r>
      <w:r w:rsidRPr="00A464CD">
        <w:rPr>
          <w:bCs/>
          <w:color w:val="000000"/>
          <w:sz w:val="16"/>
          <w:szCs w:val="16"/>
        </w:rPr>
        <w:t>". Il commence par une phrase, "</w:t>
      </w:r>
      <w:r w:rsidRPr="00A464CD">
        <w:rPr>
          <w:i/>
          <w:iCs/>
          <w:color w:val="000000"/>
          <w:sz w:val="16"/>
          <w:szCs w:val="16"/>
        </w:rPr>
        <w:t>et criant au genre humain : Songe à ta peau. L'autre</w:t>
      </w:r>
      <w:r w:rsidRPr="00A464CD">
        <w:rPr>
          <w:bCs/>
          <w:color w:val="000000"/>
          <w:sz w:val="16"/>
          <w:szCs w:val="16"/>
        </w:rPr>
        <w:t xml:space="preserve">", que l’on retrouve dans </w:t>
      </w:r>
      <w:r w:rsidRPr="00A464CD">
        <w:rPr>
          <w:i/>
          <w:iCs/>
          <w:color w:val="000000"/>
          <w:sz w:val="16"/>
          <w:szCs w:val="16"/>
        </w:rPr>
        <w:t>William Shakespeare</w:t>
      </w:r>
      <w:r w:rsidRPr="00A464CD">
        <w:rPr>
          <w:color w:val="000000"/>
          <w:sz w:val="16"/>
          <w:szCs w:val="16"/>
        </w:rPr>
        <w:t xml:space="preserve">, I, 2, 13, </w:t>
      </w:r>
      <w:r w:rsidRPr="00A464CD">
        <w:rPr>
          <w:i/>
          <w:iCs/>
          <w:color w:val="000000"/>
          <w:sz w:val="16"/>
          <w:szCs w:val="16"/>
        </w:rPr>
        <w:t>in fine</w:t>
      </w:r>
      <w:r w:rsidRPr="00A464CD">
        <w:rPr>
          <w:iCs/>
          <w:color w:val="000000"/>
          <w:sz w:val="16"/>
          <w:szCs w:val="16"/>
        </w:rPr>
        <w:t xml:space="preserve"> (cf. éd. Seebacher-Rosa, </w:t>
      </w:r>
      <w:r w:rsidRPr="00A464CD">
        <w:rPr>
          <w:i/>
          <w:iCs/>
          <w:color w:val="000000"/>
          <w:sz w:val="16"/>
          <w:szCs w:val="16"/>
        </w:rPr>
        <w:t>Critique</w:t>
      </w:r>
      <w:r w:rsidRPr="00A464CD">
        <w:rPr>
          <w:iCs/>
          <w:color w:val="000000"/>
          <w:sz w:val="16"/>
          <w:szCs w:val="16"/>
        </w:rPr>
        <w:t xml:space="preserve"> 1985, p. 282).</w:t>
      </w:r>
      <w:r w:rsidRPr="00A464CD">
        <w:rPr>
          <w:sz w:val="16"/>
          <w:szCs w:val="16"/>
        </w:rPr>
        <w:t xml:space="preserve"> Il a été délibérément écarté par la mention en haut du f° : </w:t>
      </w:r>
      <w:r w:rsidRPr="00A464CD">
        <w:rPr>
          <w:bCs/>
          <w:color w:val="000000"/>
          <w:sz w:val="16"/>
          <w:szCs w:val="16"/>
        </w:rPr>
        <w:t>"</w:t>
      </w:r>
      <w:r w:rsidRPr="00A464CD">
        <w:rPr>
          <w:i/>
          <w:sz w:val="16"/>
          <w:szCs w:val="16"/>
        </w:rPr>
        <w:t>(page à mettre ailleurs)</w:t>
      </w:r>
      <w:r w:rsidRPr="00A464CD">
        <w:rPr>
          <w:bCs/>
          <w:color w:val="000000"/>
          <w:sz w:val="16"/>
          <w:szCs w:val="16"/>
        </w:rPr>
        <w:t>"</w:t>
      </w:r>
      <w:r w:rsidRPr="00A464CD">
        <w:rPr>
          <w:sz w:val="16"/>
          <w:szCs w:val="16"/>
        </w:rPr>
        <w:t xml:space="preserve">.  </w:t>
      </w:r>
      <w:r w:rsidRPr="00A464CD">
        <w:rPr>
          <w:sz w:val="16"/>
          <w:szCs w:val="16"/>
        </w:rPr>
        <w:tab/>
        <w:t xml:space="preserve">           </w:t>
      </w:r>
    </w:p>
    <w:p w:rsidR="00A464CD" w:rsidRPr="00A464CD" w:rsidRDefault="00A464CD" w:rsidP="00A464CD">
      <w:pPr>
        <w:numPr>
          <w:ilvl w:val="0"/>
          <w:numId w:val="8"/>
        </w:numPr>
        <w:contextualSpacing/>
        <w:jc w:val="both"/>
        <w:rPr>
          <w:bCs/>
          <w:highlight w:val="lightGray"/>
        </w:rPr>
      </w:pPr>
      <w:r w:rsidRPr="00A464CD">
        <w:rPr>
          <w:bCs/>
          <w:highlight w:val="lightGray"/>
        </w:rPr>
        <w:t xml:space="preserve">f° 231 à 233 : de </w:t>
      </w:r>
      <w:r w:rsidRPr="00A464CD">
        <w:rPr>
          <w:highlight w:val="lightGray"/>
        </w:rPr>
        <w:t>"</w:t>
      </w:r>
      <w:r w:rsidRPr="00A464CD">
        <w:rPr>
          <w:i/>
          <w:highlight w:val="lightGray"/>
        </w:rPr>
        <w:t>Shakespeare, comme tous les poëtes…</w:t>
      </w:r>
      <w:r w:rsidRPr="00A464CD">
        <w:rPr>
          <w:highlight w:val="lightGray"/>
        </w:rPr>
        <w:t>" à "</w:t>
      </w:r>
      <w:r w:rsidRPr="00A464CD">
        <w:rPr>
          <w:i/>
          <w:highlight w:val="lightGray"/>
        </w:rPr>
        <w:t>… formule reste vraie</w:t>
      </w:r>
      <w:r w:rsidRPr="00A464CD">
        <w:rPr>
          <w:highlight w:val="lightGray"/>
        </w:rPr>
        <w:t>."                         620</w:t>
      </w:r>
    </w:p>
    <w:p w:rsidR="00A464CD" w:rsidRPr="00A464CD" w:rsidRDefault="00A464CD" w:rsidP="00A464CD">
      <w:pPr>
        <w:ind w:left="1416"/>
        <w:contextualSpacing/>
        <w:jc w:val="both"/>
        <w:rPr>
          <w:bCs/>
          <w:sz w:val="16"/>
          <w:szCs w:val="16"/>
        </w:rPr>
      </w:pPr>
      <w:r w:rsidRPr="00A464CD">
        <w:rPr>
          <w:sz w:val="16"/>
          <w:szCs w:val="16"/>
          <w:highlight w:val="lightGray"/>
        </w:rPr>
        <w:t xml:space="preserve">Surprenante section ! Dans le manuscrit, elle figure, non pas dans le </w:t>
      </w:r>
      <w:r w:rsidRPr="00A464CD">
        <w:rPr>
          <w:i/>
          <w:sz w:val="16"/>
          <w:szCs w:val="16"/>
          <w:highlight w:val="lightGray"/>
        </w:rPr>
        <w:t>Reliquat</w:t>
      </w:r>
      <w:r w:rsidRPr="00A464CD">
        <w:rPr>
          <w:sz w:val="16"/>
          <w:szCs w:val="16"/>
          <w:highlight w:val="lightGray"/>
        </w:rPr>
        <w:t xml:space="preserve"> stricto sensu, mais dans </w:t>
      </w:r>
      <w:r w:rsidRPr="00A464CD">
        <w:rPr>
          <w:i/>
          <w:sz w:val="16"/>
          <w:szCs w:val="16"/>
          <w:highlight w:val="lightGray"/>
        </w:rPr>
        <w:t>Les Notes de travail.</w:t>
      </w:r>
      <w:r w:rsidRPr="00A464CD">
        <w:rPr>
          <w:sz w:val="16"/>
          <w:szCs w:val="16"/>
          <w:highlight w:val="lightGray"/>
        </w:rPr>
        <w:t xml:space="preserve"> Et pourtant, c’est ici, entre ce que nous appelons </w:t>
      </w:r>
      <w:r w:rsidRPr="00A464CD">
        <w:rPr>
          <w:bCs/>
          <w:color w:val="000000"/>
          <w:sz w:val="16"/>
          <w:szCs w:val="16"/>
          <w:highlight w:val="lightGray"/>
        </w:rPr>
        <w:t>"</w:t>
      </w:r>
      <w:r w:rsidRPr="00A464CD">
        <w:rPr>
          <w:sz w:val="16"/>
          <w:szCs w:val="16"/>
          <w:highlight w:val="lightGray"/>
        </w:rPr>
        <w:t>section 2</w:t>
      </w:r>
      <w:r w:rsidRPr="00A464CD">
        <w:rPr>
          <w:bCs/>
          <w:color w:val="000000"/>
          <w:sz w:val="16"/>
          <w:szCs w:val="16"/>
          <w:highlight w:val="lightGray"/>
        </w:rPr>
        <w:t>"</w:t>
      </w:r>
      <w:r w:rsidRPr="00A464CD">
        <w:rPr>
          <w:sz w:val="16"/>
          <w:szCs w:val="16"/>
          <w:highlight w:val="lightGray"/>
        </w:rPr>
        <w:t xml:space="preserve"> et </w:t>
      </w:r>
      <w:r w:rsidRPr="00A464CD">
        <w:rPr>
          <w:bCs/>
          <w:color w:val="000000"/>
          <w:sz w:val="16"/>
          <w:szCs w:val="16"/>
          <w:highlight w:val="lightGray"/>
        </w:rPr>
        <w:t>"</w:t>
      </w:r>
      <w:r w:rsidRPr="00A464CD">
        <w:rPr>
          <w:sz w:val="16"/>
          <w:szCs w:val="16"/>
          <w:highlight w:val="lightGray"/>
        </w:rPr>
        <w:t>section 4</w:t>
      </w:r>
      <w:r w:rsidRPr="00A464CD">
        <w:rPr>
          <w:bCs/>
          <w:color w:val="000000"/>
          <w:sz w:val="16"/>
          <w:szCs w:val="16"/>
          <w:highlight w:val="lightGray"/>
        </w:rPr>
        <w:t>", que l</w:t>
      </w:r>
      <w:r w:rsidRPr="00A464CD">
        <w:rPr>
          <w:sz w:val="16"/>
          <w:szCs w:val="16"/>
          <w:highlight w:val="lightGray"/>
        </w:rPr>
        <w:t xml:space="preserve">’édition dite de l’Imprimerie nationale, introduit ce fragment. Mais pas entièrement ; elle en écarte, pour une raison inconnue, une large part. Tout cela </w:t>
      </w:r>
      <w:r w:rsidRPr="00A464CD">
        <w:rPr>
          <w:bCs/>
          <w:color w:val="000000"/>
          <w:sz w:val="16"/>
          <w:szCs w:val="16"/>
          <w:highlight w:val="lightGray"/>
        </w:rPr>
        <w:t xml:space="preserve">"donnerait à penser que ce fragment a été intercalé indûment par l’édition de l’Imprimerie nationale ; mais il y est fait allusion plus loin à propos de l’idiosyncrasie du style" (Yves Gohin, éd. des </w:t>
      </w:r>
      <w:r w:rsidRPr="00A464CD">
        <w:rPr>
          <w:bCs/>
          <w:i/>
          <w:color w:val="000000"/>
          <w:sz w:val="16"/>
          <w:szCs w:val="16"/>
          <w:highlight w:val="lightGray"/>
        </w:rPr>
        <w:t>Proses philosophiques 1860-1865</w:t>
      </w:r>
      <w:r w:rsidRPr="00A464CD">
        <w:rPr>
          <w:bCs/>
          <w:color w:val="000000"/>
          <w:sz w:val="16"/>
          <w:szCs w:val="16"/>
          <w:highlight w:val="lightGray"/>
        </w:rPr>
        <w:t xml:space="preserve"> in éd. Seebacher-Rosa</w:t>
      </w:r>
      <w:r w:rsidRPr="00A464CD">
        <w:rPr>
          <w:bCs/>
          <w:i/>
          <w:color w:val="000000"/>
          <w:sz w:val="16"/>
          <w:szCs w:val="16"/>
          <w:highlight w:val="lightGray"/>
        </w:rPr>
        <w:t>, Critique</w:t>
      </w:r>
      <w:r w:rsidRPr="00A464CD">
        <w:rPr>
          <w:bCs/>
          <w:color w:val="000000"/>
          <w:sz w:val="16"/>
          <w:szCs w:val="16"/>
          <w:highlight w:val="lightGray"/>
        </w:rPr>
        <w:t xml:space="preserve"> 1985, note 38, p. 753). On lit, en effet, f° 173 : "</w:t>
      </w:r>
      <w:r w:rsidRPr="00A464CD">
        <w:rPr>
          <w:i/>
          <w:sz w:val="16"/>
          <w:szCs w:val="16"/>
          <w:highlight w:val="lightGray"/>
        </w:rPr>
        <w:t>Le style a une chaîne, l'idiosyncrasie, ce cordon ombi</w:t>
      </w:r>
      <w:r w:rsidRPr="00A464CD">
        <w:rPr>
          <w:i/>
          <w:sz w:val="16"/>
          <w:szCs w:val="16"/>
          <w:highlight w:val="lightGray"/>
        </w:rPr>
        <w:softHyphen/>
        <w:t>lical dont nous parlions tout à l'heure, qui le rattache à l'écrivain</w:t>
      </w:r>
      <w:r w:rsidRPr="00A464CD">
        <w:rPr>
          <w:bCs/>
          <w:color w:val="000000"/>
          <w:sz w:val="16"/>
          <w:szCs w:val="16"/>
          <w:highlight w:val="lightGray"/>
        </w:rPr>
        <w:t>"</w:t>
      </w:r>
      <w:r w:rsidRPr="00A464CD">
        <w:rPr>
          <w:sz w:val="16"/>
          <w:szCs w:val="16"/>
          <w:highlight w:val="lightGray"/>
        </w:rPr>
        <w:t xml:space="preserve"> (cf. éd. Seebacher-Rosa, p. 622).</w:t>
      </w:r>
    </w:p>
    <w:p w:rsidR="00A464CD" w:rsidRPr="00A464CD" w:rsidRDefault="00A464CD" w:rsidP="00A464CD">
      <w:pPr>
        <w:numPr>
          <w:ilvl w:val="0"/>
          <w:numId w:val="8"/>
        </w:numPr>
        <w:contextualSpacing/>
        <w:jc w:val="both"/>
        <w:rPr>
          <w:bCs/>
        </w:rPr>
      </w:pPr>
      <w:r w:rsidRPr="00A464CD">
        <w:rPr>
          <w:bCs/>
        </w:rPr>
        <w:t xml:space="preserve">f° 171 à 174 : de </w:t>
      </w:r>
      <w:r w:rsidRPr="00A464CD">
        <w:t>"</w:t>
      </w:r>
      <w:r w:rsidRPr="00A464CD">
        <w:rPr>
          <w:i/>
        </w:rPr>
        <w:t>Ces hommes ont l’originalité…</w:t>
      </w:r>
      <w:r w:rsidRPr="00A464CD">
        <w:t>" à "</w:t>
      </w:r>
      <w:r w:rsidRPr="00A464CD">
        <w:rPr>
          <w:i/>
        </w:rPr>
        <w:t>Nous croyons</w:t>
      </w:r>
      <w:r w:rsidRPr="00A464CD">
        <w:t xml:space="preserve"> </w:t>
      </w:r>
      <w:r w:rsidRPr="00A464CD">
        <w:rPr>
          <w:i/>
        </w:rPr>
        <w:t>qu’il a eu raison.</w:t>
      </w:r>
      <w:r w:rsidRPr="00A464CD">
        <w:t>"               620-623</w:t>
      </w:r>
    </w:p>
    <w:p w:rsidR="00A464CD" w:rsidRPr="00A464CD" w:rsidRDefault="00A464CD" w:rsidP="00A464CD">
      <w:pPr>
        <w:ind w:left="1416"/>
        <w:contextualSpacing/>
        <w:jc w:val="both"/>
        <w:rPr>
          <w:bCs/>
          <w:color w:val="000000"/>
          <w:sz w:val="16"/>
          <w:szCs w:val="16"/>
        </w:rPr>
      </w:pPr>
      <w:r w:rsidRPr="00A464CD">
        <w:rPr>
          <w:sz w:val="16"/>
          <w:szCs w:val="16"/>
        </w:rPr>
        <w:t xml:space="preserve">Ce fragment semble appartenir à un ensemble plus grand dont manquerait, à tous le moins, le début. Le texte est divisé par une numérotation en chiffres romains : V, au milieu du f° 171 ; VI, f° 172 ; VII, f° 173 et VIII, f° 174. En outre, on distingue, deux graphies : une épaisse au début et à la fin et une très fine depuis le quart inférieur du f° 172 jusqu’au septième supérieur du f° 174. Enfin certaines corrections, intercalations et  add. m. g. semblent de l’écriture </w:t>
      </w:r>
      <w:r w:rsidRPr="00A464CD">
        <w:rPr>
          <w:bCs/>
          <w:color w:val="000000"/>
          <w:sz w:val="16"/>
          <w:szCs w:val="16"/>
        </w:rPr>
        <w:t>"</w:t>
      </w:r>
      <w:r w:rsidRPr="00A464CD">
        <w:rPr>
          <w:sz w:val="16"/>
          <w:szCs w:val="16"/>
        </w:rPr>
        <w:t>D</w:t>
      </w:r>
      <w:r w:rsidRPr="00A464CD">
        <w:rPr>
          <w:bCs/>
          <w:color w:val="000000"/>
          <w:sz w:val="16"/>
          <w:szCs w:val="16"/>
        </w:rPr>
        <w:t>" signalée par R. Journet et G. Robert et datée de fin 1863.</w:t>
      </w:r>
    </w:p>
    <w:p w:rsidR="00A464CD" w:rsidRPr="00A464CD" w:rsidRDefault="00A464CD" w:rsidP="00A464CD">
      <w:pPr>
        <w:ind w:left="1416"/>
        <w:contextualSpacing/>
        <w:jc w:val="both"/>
        <w:rPr>
          <w:bCs/>
          <w:color w:val="000000"/>
          <w:sz w:val="18"/>
          <w:szCs w:val="18"/>
        </w:rPr>
      </w:pPr>
      <w:r w:rsidRPr="00A464CD">
        <w:rPr>
          <w:bCs/>
          <w:color w:val="000000"/>
          <w:sz w:val="16"/>
          <w:szCs w:val="16"/>
        </w:rPr>
        <w:t>L’édition de l’Imprimerie nationale (1937) émet l’hypothèse, p. 423, que : "</w:t>
      </w:r>
      <w:r w:rsidRPr="00A464CD">
        <w:rPr>
          <w:sz w:val="16"/>
          <w:szCs w:val="16"/>
        </w:rPr>
        <w:t xml:space="preserve">Le début de ce chapitre jusqu'à ces mots : </w:t>
      </w:r>
      <w:r w:rsidRPr="00A464CD">
        <w:rPr>
          <w:i/>
          <w:sz w:val="16"/>
          <w:szCs w:val="16"/>
        </w:rPr>
        <w:t>Le traducteur actuel l'a pensé. Nous croyons qu'il a eu raison,</w:t>
      </w:r>
      <w:r w:rsidRPr="00A464CD">
        <w:rPr>
          <w:sz w:val="16"/>
          <w:szCs w:val="16"/>
        </w:rPr>
        <w:t xml:space="preserve"> est, selon nous, une version primitive de la </w:t>
      </w:r>
      <w:r w:rsidRPr="00A464CD">
        <w:rPr>
          <w:i/>
          <w:sz w:val="16"/>
          <w:szCs w:val="16"/>
        </w:rPr>
        <w:t>Préface pour une nouvelle traduction de Shakespeare</w:t>
      </w:r>
      <w:r w:rsidRPr="00A464CD">
        <w:rPr>
          <w:bCs/>
          <w:color w:val="000000"/>
          <w:sz w:val="16"/>
          <w:szCs w:val="16"/>
        </w:rPr>
        <w:t>"</w:t>
      </w:r>
      <w:r w:rsidRPr="00A464CD">
        <w:rPr>
          <w:sz w:val="16"/>
          <w:szCs w:val="16"/>
        </w:rPr>
        <w:t xml:space="preserve">. J. Massin (1969) reprend cette affirmation, p. 373. Je doute qu’on puisse trouver une homogénéité suffisante à la première partie de ce texte (sections 1 à 4). Seule la section 4, pourrait avoir constitué la première version incomplète de la </w:t>
      </w:r>
      <w:r w:rsidRPr="00A464CD">
        <w:rPr>
          <w:i/>
          <w:sz w:val="16"/>
          <w:szCs w:val="16"/>
        </w:rPr>
        <w:t>Préface</w:t>
      </w:r>
      <w:r w:rsidRPr="00A464CD">
        <w:rPr>
          <w:sz w:val="16"/>
          <w:szCs w:val="16"/>
        </w:rPr>
        <w:t xml:space="preserve"> promise par V</w:t>
      </w:r>
      <w:r w:rsidR="006A2E5C">
        <w:rPr>
          <w:sz w:val="16"/>
          <w:szCs w:val="16"/>
        </w:rPr>
        <w:t xml:space="preserve">ictor </w:t>
      </w:r>
      <w:r w:rsidRPr="00A464CD">
        <w:rPr>
          <w:sz w:val="16"/>
          <w:szCs w:val="16"/>
        </w:rPr>
        <w:t>H</w:t>
      </w:r>
      <w:r w:rsidR="006A2E5C">
        <w:rPr>
          <w:sz w:val="16"/>
          <w:szCs w:val="16"/>
        </w:rPr>
        <w:t>ugo</w:t>
      </w:r>
      <w:r w:rsidRPr="00A464CD">
        <w:rPr>
          <w:sz w:val="16"/>
          <w:szCs w:val="16"/>
        </w:rPr>
        <w:t xml:space="preserve"> à son fils.</w:t>
      </w:r>
      <w:r w:rsidRPr="00A464CD">
        <w:rPr>
          <w:bCs/>
          <w:color w:val="000000"/>
          <w:sz w:val="16"/>
          <w:szCs w:val="16"/>
        </w:rPr>
        <w:t xml:space="preserve"> On peut franchir un pas de plus, en constatant, avec B. Leuilliot (1973, p. 423) que : "Seule [cette] première [partie] appartient indiscutablement au </w:t>
      </w:r>
      <w:r w:rsidRPr="00A464CD">
        <w:rPr>
          <w:bCs/>
          <w:i/>
          <w:color w:val="000000"/>
          <w:sz w:val="16"/>
          <w:szCs w:val="16"/>
        </w:rPr>
        <w:t>Shakespeare</w:t>
      </w:r>
      <w:r w:rsidRPr="00A464CD">
        <w:rPr>
          <w:bCs/>
          <w:color w:val="000000"/>
          <w:sz w:val="16"/>
          <w:szCs w:val="16"/>
        </w:rPr>
        <w:t>".</w:t>
      </w:r>
      <w:r w:rsidRPr="00A464CD">
        <w:rPr>
          <w:bCs/>
          <w:color w:val="000000"/>
          <w:sz w:val="18"/>
          <w:szCs w:val="18"/>
        </w:rPr>
        <w:t xml:space="preserve"> </w:t>
      </w:r>
    </w:p>
    <w:p w:rsidR="00A464CD" w:rsidRPr="00A464CD" w:rsidRDefault="00A464CD" w:rsidP="00A464CD">
      <w:pPr>
        <w:jc w:val="both"/>
        <w:rPr>
          <w:bCs/>
          <w:sz w:val="18"/>
          <w:szCs w:val="18"/>
        </w:rPr>
      </w:pPr>
      <w:r w:rsidRPr="00A464CD">
        <w:rPr>
          <w:bCs/>
          <w:sz w:val="18"/>
          <w:szCs w:val="18"/>
        </w:rPr>
        <w:t xml:space="preserve">                                                                               </w:t>
      </w:r>
    </w:p>
    <w:p w:rsidR="00A464CD" w:rsidRPr="00A464CD" w:rsidRDefault="00A464CD" w:rsidP="00A464CD">
      <w:pPr>
        <w:numPr>
          <w:ilvl w:val="0"/>
          <w:numId w:val="8"/>
        </w:numPr>
        <w:contextualSpacing/>
        <w:jc w:val="both"/>
        <w:rPr>
          <w:bCs/>
        </w:rPr>
      </w:pPr>
      <w:r w:rsidRPr="00A464CD">
        <w:rPr>
          <w:bCs/>
        </w:rPr>
        <w:t xml:space="preserve">f° 176 à 184 : de </w:t>
      </w:r>
      <w:r w:rsidRPr="00A464CD">
        <w:t>"</w:t>
      </w:r>
      <w:r w:rsidRPr="00A464CD">
        <w:rPr>
          <w:i/>
        </w:rPr>
        <w:t>Sous toute réserve…</w:t>
      </w:r>
      <w:r w:rsidRPr="00A464CD">
        <w:t>" à "</w:t>
      </w:r>
      <w:r w:rsidRPr="00A464CD">
        <w:rPr>
          <w:i/>
        </w:rPr>
        <w:t>Patrocle m’empoisonne pas Briséis.</w:t>
      </w:r>
      <w:r w:rsidRPr="00A464CD">
        <w:t>"                         623-628</w:t>
      </w:r>
    </w:p>
    <w:p w:rsidR="00A464CD" w:rsidRPr="00A464CD" w:rsidRDefault="00A464CD" w:rsidP="00A464CD">
      <w:pPr>
        <w:ind w:left="1416"/>
        <w:contextualSpacing/>
        <w:jc w:val="both"/>
        <w:rPr>
          <w:bCs/>
          <w:sz w:val="16"/>
          <w:szCs w:val="16"/>
        </w:rPr>
      </w:pPr>
      <w:r w:rsidRPr="00A464CD">
        <w:rPr>
          <w:sz w:val="16"/>
          <w:szCs w:val="16"/>
        </w:rPr>
        <w:t xml:space="preserve">Une section très travaillée : nombreux additions marginales, certains ajouts de l’écriture </w:t>
      </w:r>
      <w:r w:rsidRPr="00A464CD">
        <w:rPr>
          <w:bCs/>
          <w:color w:val="000000"/>
          <w:sz w:val="16"/>
          <w:szCs w:val="16"/>
        </w:rPr>
        <w:t>"</w:t>
      </w:r>
      <w:r w:rsidRPr="00A464CD">
        <w:rPr>
          <w:sz w:val="16"/>
          <w:szCs w:val="16"/>
        </w:rPr>
        <w:t>D</w:t>
      </w:r>
      <w:r w:rsidRPr="00A464CD">
        <w:rPr>
          <w:bCs/>
          <w:color w:val="000000"/>
          <w:sz w:val="16"/>
          <w:szCs w:val="16"/>
        </w:rPr>
        <w:t>"</w:t>
      </w:r>
      <w:r w:rsidRPr="00A464CD">
        <w:rPr>
          <w:sz w:val="16"/>
          <w:szCs w:val="16"/>
        </w:rPr>
        <w:t>, identifiée par Journet et Robert et datée de la fin 1863 - en particulier un développement commençant au pied du f° 177 et finissant au sommet du f° 178</w:t>
      </w:r>
      <w:r w:rsidR="007C3C58">
        <w:rPr>
          <w:sz w:val="16"/>
          <w:szCs w:val="16"/>
        </w:rPr>
        <w:t xml:space="preserve"> </w:t>
      </w:r>
      <w:r w:rsidRPr="00A464CD">
        <w:rPr>
          <w:sz w:val="16"/>
          <w:szCs w:val="16"/>
        </w:rPr>
        <w:t>et un autre au bas du f° 181 - et une intercalation remarquable : celle des f° 178 et 179, entre les f° 177 et 180.</w:t>
      </w:r>
    </w:p>
    <w:p w:rsidR="00A464CD" w:rsidRPr="00A464CD" w:rsidRDefault="00A464CD" w:rsidP="00A464CD">
      <w:pPr>
        <w:numPr>
          <w:ilvl w:val="0"/>
          <w:numId w:val="8"/>
        </w:numPr>
        <w:contextualSpacing/>
        <w:jc w:val="both"/>
        <w:rPr>
          <w:bCs/>
        </w:rPr>
      </w:pPr>
      <w:r w:rsidRPr="00A464CD">
        <w:t>f° 186 et 187 : de "</w:t>
      </w:r>
      <w:r w:rsidRPr="00A464CD">
        <w:rPr>
          <w:i/>
        </w:rPr>
        <w:t>Du reste, les demi-traducteurs…</w:t>
      </w:r>
      <w:r w:rsidRPr="00A464CD">
        <w:t>" à "</w:t>
      </w:r>
      <w:r w:rsidRPr="00A464CD">
        <w:rPr>
          <w:i/>
        </w:rPr>
        <w:t>… mais d’un meilleur côté.</w:t>
      </w:r>
      <w:r w:rsidRPr="00A464CD">
        <w:t>"                   628-629</w:t>
      </w:r>
    </w:p>
    <w:p w:rsidR="00A464CD" w:rsidRPr="00A464CD" w:rsidRDefault="00A464CD" w:rsidP="00A464CD">
      <w:pPr>
        <w:numPr>
          <w:ilvl w:val="0"/>
          <w:numId w:val="8"/>
        </w:numPr>
        <w:contextualSpacing/>
        <w:jc w:val="both"/>
        <w:rPr>
          <w:bCs/>
        </w:rPr>
      </w:pPr>
      <w:r w:rsidRPr="00A464CD">
        <w:t>f° 188 et 189 : de "</w:t>
      </w:r>
      <w:r w:rsidRPr="00A464CD">
        <w:rPr>
          <w:i/>
        </w:rPr>
        <w:t>Habituellement, c’est le fond…</w:t>
      </w:r>
      <w:r w:rsidRPr="00A464CD">
        <w:t>" à "</w:t>
      </w:r>
      <w:r w:rsidRPr="00A464CD">
        <w:rPr>
          <w:i/>
        </w:rPr>
        <w:t>… de camp, de S</w:t>
      </w:r>
      <w:r w:rsidRPr="00A464CD">
        <w:rPr>
          <w:i/>
          <w:vertAlign w:val="superscript"/>
        </w:rPr>
        <w:t>t</w:t>
      </w:r>
      <w:r w:rsidRPr="00A464CD">
        <w:rPr>
          <w:i/>
        </w:rPr>
        <w:t>-Simon.</w:t>
      </w:r>
      <w:r w:rsidRPr="00A464CD">
        <w:t>"                                630</w:t>
      </w:r>
    </w:p>
    <w:p w:rsidR="00A464CD" w:rsidRPr="00A464CD" w:rsidRDefault="00A464CD" w:rsidP="00A464CD">
      <w:pPr>
        <w:ind w:left="360"/>
        <w:jc w:val="both"/>
        <w:rPr>
          <w:bCs/>
        </w:rPr>
      </w:pPr>
    </w:p>
    <w:p w:rsidR="00A464CD" w:rsidRPr="00A464CD" w:rsidRDefault="00A464CD" w:rsidP="00A464CD">
      <w:pPr>
        <w:ind w:left="360"/>
        <w:jc w:val="both"/>
        <w:rPr>
          <w:sz w:val="22"/>
          <w:szCs w:val="22"/>
        </w:rPr>
      </w:pPr>
      <w:r w:rsidRPr="00A464CD">
        <w:t>8a-</w:t>
      </w:r>
      <w:r w:rsidRPr="00A464CD">
        <w:tab/>
        <w:t>f° 190 à 194 : de "</w:t>
      </w:r>
      <w:r w:rsidRPr="00A464CD">
        <w:rPr>
          <w:i/>
        </w:rPr>
        <w:t>La relation du traducteur…</w:t>
      </w:r>
      <w:r w:rsidRPr="00A464CD">
        <w:t>" à "</w:t>
      </w:r>
      <w:r w:rsidRPr="00A464CD">
        <w:rPr>
          <w:i/>
        </w:rPr>
        <w:t>…vous l’avez bien mérité.</w:t>
      </w:r>
      <w:r w:rsidRPr="00A464CD">
        <w:t>"                              630-633</w:t>
      </w:r>
    </w:p>
    <w:p w:rsidR="00A464CD" w:rsidRPr="00A464CD" w:rsidRDefault="00A464CD" w:rsidP="00A464CD">
      <w:pPr>
        <w:ind w:left="1410"/>
        <w:jc w:val="both"/>
        <w:rPr>
          <w:sz w:val="16"/>
          <w:szCs w:val="16"/>
        </w:rPr>
      </w:pPr>
      <w:r w:rsidRPr="00A464CD">
        <w:rPr>
          <w:sz w:val="16"/>
          <w:szCs w:val="16"/>
        </w:rPr>
        <w:t>Le f° 194 est mutilé, à sa base, d’un carré collé sur la partie inférieure (seule utilisée) du f° 198. Ce qui montre la volonté de V</w:t>
      </w:r>
      <w:r w:rsidR="007C3C58">
        <w:rPr>
          <w:sz w:val="16"/>
          <w:szCs w:val="16"/>
        </w:rPr>
        <w:t xml:space="preserve">ictor </w:t>
      </w:r>
      <w:r w:rsidRPr="00A464CD">
        <w:rPr>
          <w:sz w:val="16"/>
          <w:szCs w:val="16"/>
        </w:rPr>
        <w:t>H</w:t>
      </w:r>
      <w:r w:rsidR="007C3C58">
        <w:rPr>
          <w:sz w:val="16"/>
          <w:szCs w:val="16"/>
        </w:rPr>
        <w:t>ugo</w:t>
      </w:r>
      <w:r w:rsidRPr="00A464CD">
        <w:rPr>
          <w:sz w:val="16"/>
          <w:szCs w:val="16"/>
        </w:rPr>
        <w:t xml:space="preserve"> de lier les sections 8a, 8b et 8c. </w:t>
      </w:r>
    </w:p>
    <w:p w:rsidR="00A464CD" w:rsidRPr="00A464CD" w:rsidRDefault="00A464CD" w:rsidP="00A464CD">
      <w:pPr>
        <w:ind w:left="360"/>
        <w:jc w:val="both"/>
        <w:rPr>
          <w:bCs/>
          <w:sz w:val="22"/>
          <w:szCs w:val="22"/>
        </w:rPr>
      </w:pPr>
      <w:r w:rsidRPr="00A464CD">
        <w:rPr>
          <w:sz w:val="22"/>
          <w:szCs w:val="22"/>
        </w:rPr>
        <w:t>8b-</w:t>
      </w:r>
      <w:r w:rsidRPr="00A464CD">
        <w:rPr>
          <w:sz w:val="22"/>
          <w:szCs w:val="22"/>
        </w:rPr>
        <w:tab/>
      </w:r>
      <w:r w:rsidRPr="00A464CD">
        <w:t>f° 195 à 197 : de "</w:t>
      </w:r>
      <w:r w:rsidRPr="00A464CD">
        <w:rPr>
          <w:i/>
        </w:rPr>
        <w:t>Les grands écrivains…</w:t>
      </w:r>
      <w:r w:rsidRPr="00A464CD">
        <w:t>" à "</w:t>
      </w:r>
      <w:r w:rsidRPr="00A464CD">
        <w:rPr>
          <w:i/>
        </w:rPr>
        <w:t>…la transformation des langues.</w:t>
      </w:r>
      <w:r w:rsidRPr="00A464CD">
        <w:t>"                           633-634</w:t>
      </w:r>
      <w:r w:rsidRPr="00A464CD">
        <w:rPr>
          <w:sz w:val="22"/>
          <w:szCs w:val="22"/>
        </w:rPr>
        <w:t xml:space="preserve"> </w:t>
      </w:r>
    </w:p>
    <w:p w:rsidR="00A464CD" w:rsidRPr="00A464CD" w:rsidRDefault="00A464CD" w:rsidP="00A464CD">
      <w:pPr>
        <w:ind w:left="1416"/>
        <w:jc w:val="both"/>
        <w:rPr>
          <w:bCs/>
          <w:color w:val="000000"/>
          <w:sz w:val="16"/>
          <w:szCs w:val="16"/>
        </w:rPr>
      </w:pPr>
      <w:r w:rsidRPr="00A464CD">
        <w:rPr>
          <w:bCs/>
          <w:color w:val="000000"/>
          <w:sz w:val="16"/>
          <w:szCs w:val="16"/>
        </w:rPr>
        <w:t xml:space="preserve">Il s’agit d’une </w:t>
      </w:r>
      <w:r w:rsidRPr="00A464CD">
        <w:rPr>
          <w:b/>
          <w:bCs/>
          <w:color w:val="000000"/>
          <w:sz w:val="16"/>
          <w:szCs w:val="16"/>
        </w:rPr>
        <w:t>intercalation</w:t>
      </w:r>
      <w:r w:rsidRPr="00A464CD">
        <w:rPr>
          <w:bCs/>
          <w:color w:val="000000"/>
          <w:sz w:val="16"/>
          <w:szCs w:val="16"/>
        </w:rPr>
        <w:t xml:space="preserve"> composée de</w:t>
      </w:r>
      <w:r w:rsidRPr="00A464CD">
        <w:rPr>
          <w:bCs/>
          <w:sz w:val="16"/>
          <w:szCs w:val="16"/>
        </w:rPr>
        <w:t xml:space="preserve">s éléments suivants : (1) le f° 195 qui assure la transition entre la fin du texte du f° 194 (mutilé de ce qui deviendra le f° 198) et les bandes étroites collées verticalement, (2) l’une, f° 196, sur la feuille 195 à la suite du texte du f° 195 ; (3 et 4) deux autres sur une page blanche, f° 197 ; (5) au bas de cette dernière page, un complément d’une écriture </w:t>
      </w:r>
      <w:r w:rsidRPr="00A464CD">
        <w:rPr>
          <w:bCs/>
          <w:color w:val="000000"/>
          <w:sz w:val="16"/>
          <w:szCs w:val="16"/>
        </w:rPr>
        <w:t xml:space="preserve">extrêmement fine – du fait de l’étroitesse de l’espace libre. La liaison avec le f° 194 est requise par la répétition en haut du f° 195 des deux derniers mots du f° précédent : </w:t>
      </w:r>
      <w:r w:rsidRPr="00A464CD">
        <w:rPr>
          <w:bCs/>
          <w:i/>
          <w:color w:val="000000"/>
          <w:sz w:val="16"/>
          <w:szCs w:val="16"/>
          <w:u w:val="single"/>
        </w:rPr>
        <w:t>bien mérité</w:t>
      </w:r>
      <w:r w:rsidRPr="00A464CD">
        <w:rPr>
          <w:bCs/>
          <w:color w:val="000000"/>
          <w:sz w:val="16"/>
          <w:szCs w:val="16"/>
        </w:rPr>
        <w:t>.</w:t>
      </w:r>
    </w:p>
    <w:p w:rsidR="00A464CD" w:rsidRPr="00A464CD" w:rsidRDefault="00A464CD" w:rsidP="00A464CD">
      <w:pPr>
        <w:jc w:val="both"/>
        <w:rPr>
          <w:bCs/>
          <w:color w:val="000000"/>
        </w:rPr>
      </w:pPr>
      <w:r w:rsidRPr="00A464CD">
        <w:rPr>
          <w:bCs/>
          <w:color w:val="000000"/>
          <w:sz w:val="18"/>
          <w:szCs w:val="18"/>
        </w:rPr>
        <w:t xml:space="preserve">        </w:t>
      </w:r>
      <w:r w:rsidRPr="00A464CD">
        <w:rPr>
          <w:sz w:val="22"/>
          <w:szCs w:val="22"/>
        </w:rPr>
        <w:t>8c-</w:t>
      </w:r>
      <w:r w:rsidRPr="00A464CD">
        <w:rPr>
          <w:sz w:val="22"/>
          <w:szCs w:val="22"/>
        </w:rPr>
        <w:tab/>
      </w:r>
      <w:r w:rsidRPr="00A464CD">
        <w:t>f° 198 et 199 : de "</w:t>
      </w:r>
      <w:r w:rsidRPr="00A464CD">
        <w:rPr>
          <w:i/>
        </w:rPr>
        <w:t>J’ai parlé de l’énigme…</w:t>
      </w:r>
      <w:r w:rsidRPr="00A464CD">
        <w:t>" à "</w:t>
      </w:r>
      <w:r w:rsidRPr="00A464CD">
        <w:rPr>
          <w:i/>
        </w:rPr>
        <w:t>…coups de lime d’Aristarque.</w:t>
      </w:r>
      <w:r w:rsidRPr="00A464CD">
        <w:t>"                            634-635</w:t>
      </w:r>
    </w:p>
    <w:p w:rsidR="00A464CD" w:rsidRPr="00A464CD" w:rsidRDefault="00A464CD" w:rsidP="00A464CD">
      <w:pPr>
        <w:ind w:left="1410"/>
        <w:jc w:val="both"/>
        <w:rPr>
          <w:bCs/>
          <w:sz w:val="16"/>
          <w:szCs w:val="16"/>
        </w:rPr>
      </w:pPr>
      <w:r w:rsidRPr="00A464CD">
        <w:rPr>
          <w:bCs/>
          <w:sz w:val="16"/>
          <w:szCs w:val="16"/>
        </w:rPr>
        <w:t>Un carré de papier, découpé au bas du f° 194, a été collé sur la partie inférieure d’une page vierge, f° 198 suivi du f° 199 qui avait été écarté pour laisser place aux intercalations (f° 196 et 197).</w:t>
      </w:r>
    </w:p>
    <w:p w:rsidR="00A464CD" w:rsidRPr="00A464CD" w:rsidRDefault="00A464CD" w:rsidP="007C3C58">
      <w:pPr>
        <w:ind w:left="1412" w:firstLine="6"/>
        <w:jc w:val="both"/>
        <w:rPr>
          <w:bCs/>
          <w:sz w:val="18"/>
          <w:szCs w:val="18"/>
        </w:rPr>
      </w:pPr>
      <w:r w:rsidRPr="00A464CD">
        <w:rPr>
          <w:bCs/>
          <w:sz w:val="16"/>
          <w:szCs w:val="16"/>
        </w:rPr>
        <w:t xml:space="preserve">Les organisateurs du manuscrit, dans un premier temps, n’avaient pas rapproché ce fragment du thème des </w:t>
      </w:r>
      <w:r w:rsidRPr="00A464CD">
        <w:rPr>
          <w:bCs/>
          <w:i/>
          <w:sz w:val="16"/>
          <w:szCs w:val="16"/>
        </w:rPr>
        <w:t>Traducteurs</w:t>
      </w:r>
      <w:r w:rsidRPr="00A464CD">
        <w:rPr>
          <w:bCs/>
          <w:sz w:val="16"/>
          <w:szCs w:val="16"/>
        </w:rPr>
        <w:t xml:space="preserve"> mais plutôt du thème </w:t>
      </w:r>
      <w:r w:rsidRPr="00A464CD">
        <w:rPr>
          <w:bCs/>
          <w:i/>
          <w:sz w:val="16"/>
          <w:szCs w:val="16"/>
        </w:rPr>
        <w:t>Sur Homère</w:t>
      </w:r>
      <w:r w:rsidRPr="00A464CD">
        <w:rPr>
          <w:bCs/>
          <w:sz w:val="16"/>
          <w:szCs w:val="16"/>
        </w:rPr>
        <w:t> ; ils ont finalement tenu compte du montage voulu par V</w:t>
      </w:r>
      <w:r w:rsidR="007C3C58">
        <w:rPr>
          <w:bCs/>
          <w:sz w:val="16"/>
          <w:szCs w:val="16"/>
        </w:rPr>
        <w:t xml:space="preserve">ictor </w:t>
      </w:r>
      <w:r w:rsidRPr="00A464CD">
        <w:rPr>
          <w:bCs/>
          <w:sz w:val="16"/>
          <w:szCs w:val="16"/>
        </w:rPr>
        <w:t>H</w:t>
      </w:r>
      <w:r w:rsidR="007C3C58">
        <w:rPr>
          <w:bCs/>
          <w:sz w:val="16"/>
          <w:szCs w:val="16"/>
        </w:rPr>
        <w:t>ugo</w:t>
      </w:r>
      <w:r w:rsidRPr="00A464CD">
        <w:rPr>
          <w:bCs/>
          <w:sz w:val="18"/>
          <w:szCs w:val="18"/>
        </w:rPr>
        <w:t>.</w:t>
      </w:r>
    </w:p>
    <w:p w:rsidR="00A464CD" w:rsidRPr="00A464CD" w:rsidRDefault="00A464CD" w:rsidP="00A464CD">
      <w:pPr>
        <w:ind w:left="1410" w:firstLine="6"/>
        <w:jc w:val="both"/>
        <w:rPr>
          <w:bCs/>
          <w:color w:val="000000"/>
          <w:sz w:val="18"/>
          <w:szCs w:val="18"/>
        </w:rPr>
      </w:pPr>
      <w:r w:rsidRPr="00A464CD">
        <w:rPr>
          <w:bCs/>
          <w:sz w:val="18"/>
          <w:szCs w:val="18"/>
        </w:rPr>
        <w:t> </w:t>
      </w:r>
    </w:p>
    <w:p w:rsidR="00A464CD" w:rsidRPr="00A464CD" w:rsidRDefault="00A464CD" w:rsidP="00A464CD">
      <w:pPr>
        <w:numPr>
          <w:ilvl w:val="0"/>
          <w:numId w:val="11"/>
        </w:numPr>
        <w:contextualSpacing/>
        <w:jc w:val="both"/>
        <w:rPr>
          <w:bCs/>
          <w:color w:val="000000"/>
        </w:rPr>
      </w:pPr>
      <w:r w:rsidRPr="00A464CD">
        <w:t>f° 200 et 201 : de "</w:t>
      </w:r>
      <w:r w:rsidRPr="00A464CD">
        <w:rPr>
          <w:i/>
        </w:rPr>
        <w:t>Un passage du chant IV…</w:t>
      </w:r>
      <w:r w:rsidRPr="00A464CD">
        <w:t>" à "</w:t>
      </w:r>
      <w:r w:rsidRPr="00A464CD">
        <w:rPr>
          <w:i/>
        </w:rPr>
        <w:t>…pour savoir à quoi s’en tenir.</w:t>
      </w:r>
      <w:r w:rsidRPr="00A464CD">
        <w:t>"                      635-636</w:t>
      </w:r>
    </w:p>
    <w:p w:rsidR="00A464CD" w:rsidRPr="00A464CD" w:rsidRDefault="00A464CD" w:rsidP="00A464CD">
      <w:pPr>
        <w:ind w:left="1416"/>
        <w:jc w:val="both"/>
        <w:rPr>
          <w:bCs/>
          <w:color w:val="000000"/>
          <w:sz w:val="16"/>
          <w:szCs w:val="16"/>
        </w:rPr>
      </w:pPr>
      <w:r w:rsidRPr="00A464CD">
        <w:rPr>
          <w:bCs/>
          <w:sz w:val="16"/>
          <w:szCs w:val="16"/>
        </w:rPr>
        <w:t xml:space="preserve">Les organisateurs du manuscrit ont hésité quant au voisinage de cette section, dans un premier temps, ils l’avaient rapproché du thème </w:t>
      </w:r>
      <w:r w:rsidRPr="00A464CD">
        <w:rPr>
          <w:bCs/>
          <w:i/>
          <w:sz w:val="16"/>
          <w:szCs w:val="16"/>
        </w:rPr>
        <w:t>Sur Homère</w:t>
      </w:r>
      <w:r w:rsidRPr="00A464CD">
        <w:rPr>
          <w:bCs/>
          <w:sz w:val="16"/>
          <w:szCs w:val="16"/>
        </w:rPr>
        <w:t>.</w:t>
      </w:r>
      <w:r w:rsidRPr="00A464CD">
        <w:rPr>
          <w:bCs/>
          <w:color w:val="000000"/>
          <w:sz w:val="16"/>
          <w:szCs w:val="16"/>
        </w:rPr>
        <w:t xml:space="preserve"> </w:t>
      </w:r>
    </w:p>
    <w:p w:rsidR="00A464CD" w:rsidRPr="00A464CD" w:rsidRDefault="00A464CD" w:rsidP="00A464CD">
      <w:pPr>
        <w:jc w:val="both"/>
        <w:rPr>
          <w:bCs/>
          <w:color w:val="000000"/>
        </w:rPr>
      </w:pPr>
      <w:r w:rsidRPr="00A464CD">
        <w:rPr>
          <w:bCs/>
          <w:color w:val="000000"/>
        </w:rPr>
        <w:t xml:space="preserve">      </w:t>
      </w:r>
    </w:p>
    <w:p w:rsidR="00A464CD" w:rsidRPr="00A464CD" w:rsidRDefault="00A464CD" w:rsidP="00A464CD">
      <w:pPr>
        <w:jc w:val="both"/>
        <w:rPr>
          <w:bCs/>
          <w:color w:val="000000"/>
        </w:rPr>
      </w:pPr>
      <w:r w:rsidRPr="00A464CD">
        <w:rPr>
          <w:bCs/>
          <w:color w:val="000000"/>
        </w:rPr>
        <w:t xml:space="preserve">       10</w:t>
      </w:r>
      <w:r w:rsidRPr="00A464CD">
        <w:t>-</w:t>
      </w:r>
      <w:r w:rsidRPr="00A464CD">
        <w:tab/>
        <w:t>f° 203 à 206 : de "</w:t>
      </w:r>
      <w:r w:rsidRPr="00A464CD">
        <w:rPr>
          <w:i/>
        </w:rPr>
        <w:t>Maintenant un dernier mot.</w:t>
      </w:r>
      <w:r w:rsidRPr="00A464CD">
        <w:t>" à "</w:t>
      </w:r>
      <w:r w:rsidRPr="00A464CD">
        <w:rPr>
          <w:i/>
        </w:rPr>
        <w:t>…une traduction de Voltaire.</w:t>
      </w:r>
      <w:r w:rsidRPr="00A464CD">
        <w:t>"                        636-638</w:t>
      </w:r>
    </w:p>
    <w:p w:rsidR="00A464CD" w:rsidRPr="00A464CD" w:rsidRDefault="00A464CD" w:rsidP="00A464CD">
      <w:pPr>
        <w:ind w:left="1410"/>
        <w:jc w:val="both"/>
        <w:rPr>
          <w:bCs/>
          <w:sz w:val="18"/>
          <w:szCs w:val="18"/>
        </w:rPr>
      </w:pPr>
      <w:r w:rsidRPr="00A464CD">
        <w:rPr>
          <w:bCs/>
          <w:sz w:val="18"/>
          <w:szCs w:val="18"/>
        </w:rPr>
        <w:t xml:space="preserve">Cette section aurait tout aussi bien pu être rattachée à </w:t>
      </w:r>
      <w:r w:rsidRPr="00A464CD">
        <w:rPr>
          <w:bCs/>
          <w:i/>
          <w:sz w:val="18"/>
          <w:szCs w:val="18"/>
        </w:rPr>
        <w:t>Sur Homère</w:t>
      </w:r>
      <w:r w:rsidRPr="00A464CD">
        <w:rPr>
          <w:bCs/>
          <w:sz w:val="18"/>
          <w:szCs w:val="18"/>
        </w:rPr>
        <w:t xml:space="preserve">, voire même à </w:t>
      </w:r>
      <w:r w:rsidRPr="00A464CD">
        <w:rPr>
          <w:bCs/>
          <w:i/>
          <w:sz w:val="18"/>
          <w:szCs w:val="18"/>
        </w:rPr>
        <w:t>La Bible – L’Angleterre</w:t>
      </w:r>
      <w:r w:rsidRPr="00A464CD">
        <w:rPr>
          <w:bCs/>
          <w:sz w:val="18"/>
          <w:szCs w:val="18"/>
        </w:rPr>
        <w:t>.</w:t>
      </w:r>
    </w:p>
    <w:p w:rsidR="00A464CD" w:rsidRPr="00A464CD" w:rsidRDefault="00A464CD" w:rsidP="00A464CD">
      <w:pPr>
        <w:jc w:val="both"/>
        <w:rPr>
          <w:bCs/>
        </w:rPr>
      </w:pPr>
    </w:p>
    <w:p w:rsidR="00A464CD" w:rsidRPr="00A464CD" w:rsidRDefault="00A464CD" w:rsidP="00A464CD">
      <w:pPr>
        <w:jc w:val="both"/>
        <w:rPr>
          <w:bCs/>
        </w:rPr>
      </w:pPr>
      <w:r w:rsidRPr="00A464CD">
        <w:rPr>
          <w:bCs/>
        </w:rPr>
        <w:lastRenderedPageBreak/>
        <w:t xml:space="preserve">L’agencement des sections de ce texte très composite semble avoir posé problèmes aux organisateurs du manuscrit 24 776. Pour donner une idée des leurs hésitations et attirer l’attention du lecteur sur la fragilité de la construction proposée, nous présentons le tableau suivant :  </w:t>
      </w:r>
    </w:p>
    <w:p w:rsidR="00A464CD" w:rsidRPr="00A464CD" w:rsidRDefault="00A464CD" w:rsidP="00A464CD">
      <w:pPr>
        <w:jc w:val="both"/>
        <w:rPr>
          <w:bCs/>
        </w:rPr>
      </w:pPr>
    </w:p>
    <w:tbl>
      <w:tblPr>
        <w:tblStyle w:val="Grilledutableau1"/>
        <w:tblW w:w="0" w:type="auto"/>
        <w:jc w:val="center"/>
        <w:tblLook w:val="04A0"/>
      </w:tblPr>
      <w:tblGrid>
        <w:gridCol w:w="1644"/>
        <w:gridCol w:w="1361"/>
        <w:gridCol w:w="1134"/>
        <w:gridCol w:w="1928"/>
      </w:tblGrid>
      <w:tr w:rsidR="00A464CD" w:rsidRPr="00A464CD" w:rsidTr="00A464CD">
        <w:trPr>
          <w:jc w:val="center"/>
        </w:trPr>
        <w:tc>
          <w:tcPr>
            <w:tcW w:w="1644" w:type="dxa"/>
          </w:tcPr>
          <w:p w:rsidR="00A464CD" w:rsidRPr="00A464CD" w:rsidRDefault="00A464CD" w:rsidP="00A464CD">
            <w:pPr>
              <w:overflowPunct/>
              <w:autoSpaceDE/>
              <w:autoSpaceDN/>
              <w:adjustRightInd/>
              <w:jc w:val="center"/>
              <w:textAlignment w:val="auto"/>
              <w:rPr>
                <w:rFonts w:eastAsiaTheme="minorHAnsi"/>
                <w:sz w:val="18"/>
                <w:szCs w:val="18"/>
                <w:lang w:eastAsia="en-US"/>
              </w:rPr>
            </w:pPr>
            <w:r w:rsidRPr="00A464CD">
              <w:rPr>
                <w:rFonts w:eastAsiaTheme="minorHAnsi"/>
                <w:sz w:val="18"/>
                <w:szCs w:val="18"/>
                <w:lang w:eastAsia="en-US"/>
              </w:rPr>
              <w:t>Ancienne tentative de classement</w:t>
            </w:r>
          </w:p>
        </w:tc>
        <w:tc>
          <w:tcPr>
            <w:tcW w:w="2495" w:type="dxa"/>
            <w:gridSpan w:val="2"/>
          </w:tcPr>
          <w:p w:rsidR="00A464CD" w:rsidRPr="00A464CD" w:rsidRDefault="00A464CD" w:rsidP="00A464CD">
            <w:pPr>
              <w:overflowPunct/>
              <w:autoSpaceDE/>
              <w:autoSpaceDN/>
              <w:adjustRightInd/>
              <w:jc w:val="center"/>
              <w:textAlignment w:val="auto"/>
              <w:rPr>
                <w:rFonts w:eastAsiaTheme="minorHAnsi"/>
                <w:sz w:val="18"/>
                <w:szCs w:val="18"/>
                <w:lang w:eastAsia="en-US"/>
              </w:rPr>
            </w:pPr>
            <w:r w:rsidRPr="00A464CD">
              <w:rPr>
                <w:rFonts w:eastAsiaTheme="minorHAnsi"/>
                <w:sz w:val="18"/>
                <w:szCs w:val="18"/>
                <w:lang w:eastAsia="en-US"/>
              </w:rPr>
              <w:t>Classement retenu</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172-173</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VIII c</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198-199</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174-177</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X</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203-206</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178-180</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III</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231-233</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183-184</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209-210</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i/>
                <w:sz w:val="18"/>
                <w:szCs w:val="18"/>
                <w:lang w:eastAsia="en-US"/>
              </w:rPr>
              <w:t>Sur Homère</w:t>
            </w:r>
            <w:r w:rsidRPr="00A464CD">
              <w:rPr>
                <w:rFonts w:eastAsiaTheme="minorHAnsi"/>
                <w:sz w:val="18"/>
                <w:szCs w:val="18"/>
                <w:lang w:eastAsia="en-US"/>
              </w:rPr>
              <w:t xml:space="preserve"> Section 1</w:t>
            </w: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185-193</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V</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176-184</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195-196</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VI</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186-187</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197-198</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VII</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188-189</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199-203</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VIII a</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190-194</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204-206</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VIII b</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195-197</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207-208</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211-212</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i/>
                <w:sz w:val="18"/>
                <w:szCs w:val="18"/>
                <w:lang w:eastAsia="en-US"/>
              </w:rPr>
              <w:t>Sur Homère</w:t>
            </w:r>
            <w:r w:rsidRPr="00A464CD">
              <w:rPr>
                <w:rFonts w:eastAsiaTheme="minorHAnsi"/>
                <w:sz w:val="18"/>
                <w:szCs w:val="18"/>
                <w:lang w:eastAsia="en-US"/>
              </w:rPr>
              <w:t xml:space="preserve"> Section 2</w:t>
            </w: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212-213</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IX</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200-201</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231-232</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I</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168-169</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233</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II</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170</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r w:rsidR="00A464CD" w:rsidRPr="00A464CD" w:rsidTr="00A464CD">
        <w:trPr>
          <w:jc w:val="center"/>
        </w:trPr>
        <w:tc>
          <w:tcPr>
            <w:tcW w:w="164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234-237</w:t>
            </w:r>
          </w:p>
        </w:tc>
        <w:tc>
          <w:tcPr>
            <w:tcW w:w="1361"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 xml:space="preserve">  Section IV</w:t>
            </w:r>
          </w:p>
        </w:tc>
        <w:tc>
          <w:tcPr>
            <w:tcW w:w="1134" w:type="dxa"/>
          </w:tcPr>
          <w:p w:rsidR="00A464CD" w:rsidRPr="00A464CD" w:rsidRDefault="00A464CD" w:rsidP="00A464CD">
            <w:pPr>
              <w:overflowPunct/>
              <w:autoSpaceDE/>
              <w:autoSpaceDN/>
              <w:adjustRightInd/>
              <w:textAlignment w:val="auto"/>
              <w:rPr>
                <w:rFonts w:eastAsiaTheme="minorHAnsi"/>
                <w:sz w:val="18"/>
                <w:szCs w:val="18"/>
                <w:lang w:eastAsia="en-US"/>
              </w:rPr>
            </w:pPr>
            <w:r w:rsidRPr="00A464CD">
              <w:rPr>
                <w:rFonts w:eastAsiaTheme="minorHAnsi"/>
                <w:sz w:val="18"/>
                <w:szCs w:val="18"/>
                <w:lang w:eastAsia="en-US"/>
              </w:rPr>
              <w:t>f° 171-174</w:t>
            </w:r>
          </w:p>
        </w:tc>
        <w:tc>
          <w:tcPr>
            <w:tcW w:w="1928" w:type="dxa"/>
          </w:tcPr>
          <w:p w:rsidR="00A464CD" w:rsidRPr="00A464CD" w:rsidRDefault="00A464CD" w:rsidP="00A464CD">
            <w:pPr>
              <w:overflowPunct/>
              <w:autoSpaceDE/>
              <w:autoSpaceDN/>
              <w:adjustRightInd/>
              <w:textAlignment w:val="auto"/>
              <w:rPr>
                <w:rFonts w:eastAsiaTheme="minorHAnsi"/>
                <w:sz w:val="18"/>
                <w:szCs w:val="18"/>
                <w:lang w:eastAsia="en-US"/>
              </w:rPr>
            </w:pPr>
          </w:p>
        </w:tc>
      </w:tr>
    </w:tbl>
    <w:p w:rsidR="00A464CD" w:rsidRPr="00A464CD" w:rsidRDefault="00A464CD" w:rsidP="00A464CD">
      <w:pPr>
        <w:jc w:val="both"/>
        <w:rPr>
          <w:bCs/>
        </w:rPr>
      </w:pPr>
    </w:p>
    <w:p w:rsidR="00A464CD" w:rsidRPr="00A464CD" w:rsidRDefault="00A464CD" w:rsidP="00A464CD">
      <w:pPr>
        <w:jc w:val="both"/>
      </w:pPr>
      <w:r w:rsidRPr="00A464CD">
        <w:t xml:space="preserve">Dans l’Edition dite de l’Imprimerie nationale, ce texte figure dans le Reliquat de </w:t>
      </w:r>
      <w:r w:rsidRPr="00A464CD">
        <w:rPr>
          <w:i/>
        </w:rPr>
        <w:t>William Shakespeare</w:t>
      </w:r>
      <w:r w:rsidRPr="00A464CD">
        <w:t>, pp. 337-355 (</w:t>
      </w:r>
      <w:hyperlink r:id="rId24" w:history="1">
        <w:r w:rsidRPr="00A464CD">
          <w:rPr>
            <w:color w:val="0563C1" w:themeColor="hyperlink"/>
            <w:u w:val="single"/>
          </w:rPr>
          <w:sym w:font="Wingdings" w:char="F026"/>
        </w:r>
      </w:hyperlink>
      <w:r w:rsidRPr="00A464CD">
        <w:t>).</w:t>
      </w:r>
    </w:p>
    <w:p w:rsidR="00A464CD" w:rsidRPr="00A464CD" w:rsidRDefault="00A464CD" w:rsidP="00A464CD">
      <w:pPr>
        <w:jc w:val="both"/>
      </w:pPr>
    </w:p>
    <w:p w:rsidR="00A464CD" w:rsidRPr="00A464CD" w:rsidRDefault="00A464CD" w:rsidP="00A464CD">
      <w:pPr>
        <w:jc w:val="center"/>
      </w:pPr>
      <w:r w:rsidRPr="00A464CD">
        <w:t>*</w:t>
      </w:r>
    </w:p>
    <w:p w:rsidR="00A464CD" w:rsidRPr="00A464CD" w:rsidRDefault="00A464CD" w:rsidP="00A464CD">
      <w:pPr>
        <w:framePr w:hSpace="141" w:wrap="around" w:vAnchor="text" w:hAnchor="text" w:y="261"/>
        <w:pBdr>
          <w:top w:val="single" w:sz="4" w:space="1" w:color="auto"/>
          <w:left w:val="single" w:sz="4" w:space="4" w:color="auto"/>
          <w:bottom w:val="single" w:sz="4" w:space="1" w:color="auto"/>
          <w:right w:val="single" w:sz="4" w:space="4" w:color="auto"/>
        </w:pBdr>
        <w:suppressOverlap/>
        <w:jc w:val="both"/>
      </w:pPr>
      <w:r w:rsidRPr="00A464CD">
        <w:rPr>
          <w:b/>
        </w:rPr>
        <w:t>Homère à Hauteville-House</w:t>
      </w:r>
      <w:r w:rsidRPr="00A464CD">
        <w:t xml:space="preserve">. </w:t>
      </w:r>
    </w:p>
    <w:p w:rsidR="00A464CD" w:rsidRPr="00A464CD" w:rsidRDefault="00A464CD" w:rsidP="00A464CD">
      <w:pPr>
        <w:framePr w:hSpace="141" w:wrap="around" w:vAnchor="text" w:hAnchor="text" w:y="261"/>
        <w:pBdr>
          <w:top w:val="single" w:sz="4" w:space="1" w:color="auto"/>
          <w:left w:val="single" w:sz="4" w:space="4" w:color="auto"/>
          <w:bottom w:val="single" w:sz="4" w:space="1" w:color="auto"/>
          <w:right w:val="single" w:sz="4" w:space="4" w:color="auto"/>
        </w:pBdr>
        <w:suppressOverlap/>
        <w:jc w:val="both"/>
      </w:pPr>
    </w:p>
    <w:p w:rsidR="00A464CD" w:rsidRPr="00A464CD" w:rsidRDefault="00A464CD" w:rsidP="00A464CD">
      <w:pPr>
        <w:framePr w:hSpace="141" w:wrap="around" w:vAnchor="text" w:hAnchor="text" w:y="261"/>
        <w:pBdr>
          <w:top w:val="single" w:sz="4" w:space="1" w:color="auto"/>
          <w:left w:val="single" w:sz="4" w:space="4" w:color="auto"/>
          <w:bottom w:val="single" w:sz="4" w:space="1" w:color="auto"/>
          <w:right w:val="single" w:sz="4" w:space="4" w:color="auto"/>
        </w:pBdr>
        <w:suppressOverlap/>
        <w:jc w:val="both"/>
      </w:pPr>
      <w:r w:rsidRPr="00A464CD">
        <w:t>Dans la bibliothèque de Hauteville-House, aujourd’hui encore, figurent trois éditions de l’</w:t>
      </w:r>
      <w:r w:rsidRPr="00A464CD">
        <w:rPr>
          <w:i/>
        </w:rPr>
        <w:t>Iliade</w:t>
      </w:r>
      <w:r w:rsidRPr="00A464CD">
        <w:t xml:space="preserve"> antérieures à 1863. Seules les deux plus anciennes nous intéressent. Il s’agit de :  </w:t>
      </w:r>
    </w:p>
    <w:p w:rsidR="00A464CD" w:rsidRPr="00A464CD" w:rsidRDefault="00A464CD" w:rsidP="00A464CD">
      <w:pPr>
        <w:framePr w:hSpace="141" w:wrap="around" w:vAnchor="text" w:hAnchor="text" w:y="261"/>
        <w:pBdr>
          <w:top w:val="single" w:sz="4" w:space="1" w:color="auto"/>
          <w:left w:val="single" w:sz="4" w:space="4" w:color="auto"/>
          <w:bottom w:val="single" w:sz="4" w:space="1" w:color="auto"/>
          <w:right w:val="single" w:sz="4" w:space="4" w:color="auto"/>
        </w:pBdr>
        <w:suppressOverlap/>
        <w:jc w:val="both"/>
      </w:pPr>
      <w:r w:rsidRPr="00A464CD">
        <w:rPr>
          <w:b/>
        </w:rPr>
        <w:t>(1)</w:t>
      </w:r>
      <w:r w:rsidRPr="00A464CD">
        <w:rPr>
          <w:i/>
          <w:iCs/>
        </w:rPr>
        <w:t xml:space="preserve"> L'Iliade, traduite en françois, avec des remarques, par Madame Dacier. Nouvelle édition revûe &amp; corrigée, où l’on a mis les remarques sous le texte...</w:t>
      </w:r>
      <w:r w:rsidRPr="00A464CD">
        <w:t xml:space="preserve"> Amsterdam : aux dépens de la Comp. 1712, 3 vol. in-12 de CXVI-300, 389 et 373-[1] pp. = </w:t>
      </w:r>
      <w:r w:rsidRPr="00A464CD">
        <w:rPr>
          <w:b/>
        </w:rPr>
        <w:t>Dacier 1712</w:t>
      </w:r>
      <w:r w:rsidRPr="00A464CD">
        <w:t xml:space="preserve"> </w:t>
      </w:r>
    </w:p>
    <w:p w:rsidR="00A464CD" w:rsidRPr="00A464CD" w:rsidRDefault="00A464CD" w:rsidP="00A464CD">
      <w:pPr>
        <w:framePr w:hSpace="141" w:wrap="around" w:vAnchor="text" w:hAnchor="text" w:y="261"/>
        <w:pBdr>
          <w:top w:val="single" w:sz="4" w:space="1" w:color="auto"/>
          <w:left w:val="single" w:sz="4" w:space="4" w:color="auto"/>
          <w:bottom w:val="single" w:sz="4" w:space="1" w:color="auto"/>
          <w:right w:val="single" w:sz="4" w:space="4" w:color="auto"/>
        </w:pBdr>
        <w:suppressOverlap/>
        <w:jc w:val="both"/>
      </w:pPr>
      <w:r w:rsidRPr="00A464CD">
        <w:rPr>
          <w:b/>
        </w:rPr>
        <w:t>(2)</w:t>
      </w:r>
      <w:r w:rsidRPr="00A464CD">
        <w:t xml:space="preserve"> </w:t>
      </w:r>
      <w:r w:rsidRPr="00A464CD">
        <w:rPr>
          <w:rFonts w:eastAsia="Arial Unicode MS"/>
          <w:i/>
        </w:rPr>
        <w:t>L'Iliade d'Homère, avec des remarques, précédée de réflexions sur Homère et sur la traduction des poètes, par P.-J. Bitaubé</w:t>
      </w:r>
      <w:r w:rsidRPr="00A464CD">
        <w:rPr>
          <w:i/>
        </w:rPr>
        <w:t>.</w:t>
      </w:r>
      <w:r w:rsidRPr="00A464CD">
        <w:rPr>
          <w:rFonts w:eastAsia="Arial Unicode MS"/>
          <w:i/>
        </w:rPr>
        <w:t xml:space="preserve"> </w:t>
      </w:r>
      <w:r w:rsidRPr="00A464CD">
        <w:rPr>
          <w:rFonts w:eastAsia="Arial Unicode MS"/>
        </w:rPr>
        <w:t>P</w:t>
      </w:r>
      <w:r w:rsidRPr="00A464CD">
        <w:t xml:space="preserve">aris : E.-A. Lequien, 1819, 4 vol. in-12 de 336, 316, 353 et 304 pp. = </w:t>
      </w:r>
      <w:r w:rsidRPr="00A464CD">
        <w:rPr>
          <w:b/>
        </w:rPr>
        <w:t>Bitaubé 1819</w:t>
      </w:r>
      <w:r w:rsidRPr="00A464CD">
        <w:t>.</w:t>
      </w:r>
      <w:r w:rsidR="003F5708">
        <w:t xml:space="preserve"> (réf. BNF : YB-3956 à 3959).</w:t>
      </w:r>
    </w:p>
    <w:p w:rsidR="00A464CD" w:rsidRPr="00A464CD" w:rsidRDefault="00A464CD" w:rsidP="00A464CD">
      <w:pPr>
        <w:framePr w:hSpace="141" w:wrap="around" w:vAnchor="text" w:hAnchor="text" w:y="261"/>
        <w:pBdr>
          <w:top w:val="single" w:sz="4" w:space="1" w:color="auto"/>
          <w:left w:val="single" w:sz="4" w:space="4" w:color="auto"/>
          <w:bottom w:val="single" w:sz="4" w:space="1" w:color="auto"/>
          <w:right w:val="single" w:sz="4" w:space="4" w:color="auto"/>
        </w:pBdr>
        <w:suppressOverlap/>
        <w:jc w:val="both"/>
      </w:pPr>
      <w:r w:rsidRPr="00A464CD">
        <w:t xml:space="preserve">[Pour l’heure, à notre connaissance, cet ouvrage n’a été numérisé sur aucun site internet accessible au public. Notons que Bitaubé étant mort en 1808, les nombreuses rééditions de son </w:t>
      </w:r>
      <w:r w:rsidRPr="00A464CD">
        <w:rPr>
          <w:i/>
        </w:rPr>
        <w:t>Iliade</w:t>
      </w:r>
      <w:r w:rsidRPr="00A464CD">
        <w:t xml:space="preserve"> reproduisaient la dernière édition publiée de son vivant ; dès lors nous avons pris la liberté de renvoyer nos lecteurs à une autre édition de même époque dont nous avons vérifié que le texte est identique à celle en possession de Victor Hugo et qui ne diffère de cette dernière que par la pagination et la présentation. Voilà </w:t>
      </w:r>
      <w:r w:rsidR="007C3C58">
        <w:t>l’</w:t>
      </w:r>
      <w:r w:rsidRPr="00A464CD">
        <w:t>édition, à laquelle renvoient les liens hypertextes :</w:t>
      </w:r>
    </w:p>
    <w:p w:rsidR="00A464CD" w:rsidRPr="00A464CD" w:rsidRDefault="00A464CD" w:rsidP="00A464CD">
      <w:pPr>
        <w:framePr w:hSpace="141" w:wrap="around" w:vAnchor="text" w:hAnchor="text" w:y="261"/>
        <w:pBdr>
          <w:top w:val="single" w:sz="4" w:space="1" w:color="auto"/>
          <w:left w:val="single" w:sz="4" w:space="4" w:color="auto"/>
          <w:bottom w:val="single" w:sz="4" w:space="1" w:color="auto"/>
          <w:right w:val="single" w:sz="4" w:space="4" w:color="auto"/>
        </w:pBdr>
        <w:suppressOverlap/>
        <w:jc w:val="both"/>
        <w:rPr>
          <w:color w:val="4F4F4F"/>
        </w:rPr>
      </w:pPr>
      <w:r w:rsidRPr="00A464CD">
        <w:rPr>
          <w:i/>
        </w:rPr>
        <w:t>Œuvres d'Homère, avec des remarques ; précédées de réflexions sur Homère et sur la traduction des poètes par P.</w:t>
      </w:r>
      <w:r w:rsidR="000354B0">
        <w:rPr>
          <w:i/>
        </w:rPr>
        <w:t>-</w:t>
      </w:r>
      <w:r w:rsidRPr="00A464CD">
        <w:rPr>
          <w:i/>
        </w:rPr>
        <w:t>J. Bitaubé</w:t>
      </w:r>
      <w:r w:rsidRPr="00A464CD">
        <w:t xml:space="preserve">. </w:t>
      </w:r>
      <w:r w:rsidRPr="00A464CD">
        <w:rPr>
          <w:i/>
        </w:rPr>
        <w:t>L’Iliade</w:t>
      </w:r>
      <w:r w:rsidRPr="00A464CD">
        <w:t>. Paris : Ledoux et Tenré, 1819, 2 vol. in-8° de 511 pp chacun.]</w:t>
      </w:r>
      <w:r w:rsidRPr="00A464CD">
        <w:rPr>
          <w:color w:val="4F4F4F"/>
        </w:rPr>
        <w:t xml:space="preserve"> </w:t>
      </w:r>
    </w:p>
    <w:p w:rsidR="00A464CD" w:rsidRPr="00A464CD" w:rsidRDefault="00A464CD" w:rsidP="00A464CD">
      <w:pPr>
        <w:framePr w:hSpace="141" w:wrap="around" w:vAnchor="text" w:hAnchor="text" w:y="261"/>
        <w:pBdr>
          <w:top w:val="single" w:sz="4" w:space="1" w:color="auto"/>
          <w:left w:val="single" w:sz="4" w:space="4" w:color="auto"/>
          <w:bottom w:val="single" w:sz="4" w:space="1" w:color="auto"/>
          <w:right w:val="single" w:sz="4" w:space="4" w:color="auto"/>
        </w:pBdr>
        <w:suppressOverlap/>
        <w:jc w:val="both"/>
      </w:pPr>
      <w:r w:rsidRPr="00A464CD">
        <w:t xml:space="preserve">     </w:t>
      </w:r>
    </w:p>
    <w:p w:rsidR="00A464CD" w:rsidRPr="00A464CD" w:rsidRDefault="00A464CD" w:rsidP="00A464CD">
      <w:pPr>
        <w:framePr w:hSpace="141" w:wrap="around" w:vAnchor="text" w:hAnchor="text" w:y="261"/>
        <w:pBdr>
          <w:top w:val="single" w:sz="4" w:space="1" w:color="auto"/>
          <w:left w:val="single" w:sz="4" w:space="4" w:color="auto"/>
          <w:bottom w:val="single" w:sz="4" w:space="1" w:color="auto"/>
          <w:right w:val="single" w:sz="4" w:space="4" w:color="auto"/>
        </w:pBdr>
        <w:suppressOverlap/>
        <w:jc w:val="both"/>
      </w:pPr>
      <w:r w:rsidRPr="00A464CD">
        <w:t>NB : Comme référence – notamment pour la numérotation nécessaire des vers – et comme édition contemporaine de l’</w:t>
      </w:r>
      <w:r w:rsidRPr="00A464CD">
        <w:rPr>
          <w:i/>
        </w:rPr>
        <w:t>Iliade</w:t>
      </w:r>
      <w:r w:rsidRPr="00A464CD">
        <w:t>, nous avons choisi la traduction de Frédéric Mugler, publiée chez Actes Sud, en 1995.</w:t>
      </w:r>
    </w:p>
    <w:p w:rsidR="00A464CD" w:rsidRPr="00A464CD" w:rsidRDefault="00A464CD" w:rsidP="00A464CD">
      <w:pPr>
        <w:jc w:val="center"/>
      </w:pPr>
    </w:p>
    <w:p w:rsidR="00A464CD" w:rsidRPr="00A464CD" w:rsidRDefault="00A464CD" w:rsidP="00A464CD"/>
    <w:p w:rsidR="00A464CD" w:rsidRPr="00A464CD" w:rsidRDefault="00A464CD" w:rsidP="00A464CD"/>
    <w:p w:rsidR="00A464CD" w:rsidRPr="00A464CD" w:rsidRDefault="00A464CD" w:rsidP="00A464CD">
      <w:pPr>
        <w:rPr>
          <w:b/>
          <w:bCs/>
        </w:rPr>
      </w:pPr>
      <w:r w:rsidRPr="00A464CD">
        <w:rPr>
          <w:b/>
          <w:bCs/>
          <w:highlight w:val="yellow"/>
        </w:rPr>
        <w:t>24 776 f° 208-217</w:t>
      </w:r>
      <w:r w:rsidRPr="00A464CD">
        <w:rPr>
          <w:b/>
          <w:bCs/>
        </w:rPr>
        <w:t> :</w:t>
      </w:r>
      <w:r w:rsidRPr="00A464CD">
        <w:t xml:space="preserve"> </w:t>
      </w:r>
      <w:r w:rsidRPr="00A464CD">
        <w:rPr>
          <w:b/>
        </w:rPr>
        <w:t>Sur Homère</w:t>
      </w:r>
      <w:r w:rsidRPr="00A464CD">
        <w:rPr>
          <w:b/>
          <w:bCs/>
        </w:rPr>
        <w:t>.</w:t>
      </w:r>
    </w:p>
    <w:p w:rsidR="00A464CD" w:rsidRPr="00A464CD" w:rsidRDefault="00A464CD" w:rsidP="00A464CD">
      <w:pPr>
        <w:numPr>
          <w:ilvl w:val="0"/>
          <w:numId w:val="10"/>
        </w:numPr>
        <w:contextualSpacing/>
      </w:pPr>
      <w:r w:rsidRPr="00A464CD">
        <w:t>f° 209 à 210 : de "</w:t>
      </w:r>
      <w:r w:rsidRPr="00A464CD">
        <w:rPr>
          <w:i/>
        </w:rPr>
        <w:t>Politien dénigrait quiconque...</w:t>
      </w:r>
      <w:r w:rsidRPr="00A464CD">
        <w:t>" à "</w:t>
      </w:r>
      <w:r w:rsidRPr="00A464CD">
        <w:rPr>
          <w:i/>
        </w:rPr>
        <w:t>Zoïle ne mérite que son nom.</w:t>
      </w:r>
      <w:r w:rsidRPr="00A464CD">
        <w:t>"                1011-1012</w:t>
      </w:r>
    </w:p>
    <w:p w:rsidR="00A464CD" w:rsidRPr="00A464CD" w:rsidRDefault="00A464CD" w:rsidP="00A464CD">
      <w:pPr>
        <w:ind w:left="300"/>
      </w:pPr>
    </w:p>
    <w:p w:rsidR="00A464CD" w:rsidRPr="00A464CD" w:rsidRDefault="00A464CD" w:rsidP="00A464CD">
      <w:pPr>
        <w:ind w:left="300"/>
      </w:pPr>
      <w:r w:rsidRPr="00A464CD">
        <w:t>2a-</w:t>
      </w:r>
      <w:r w:rsidRPr="00A464CD">
        <w:tab/>
        <w:t>f° 211           : de "</w:t>
      </w:r>
      <w:r w:rsidRPr="00A464CD">
        <w:rPr>
          <w:i/>
        </w:rPr>
        <w:t>Platon, ce même Platon...</w:t>
      </w:r>
      <w:r w:rsidRPr="00A464CD">
        <w:t>" à "</w:t>
      </w:r>
      <w:r w:rsidRPr="00A464CD">
        <w:rPr>
          <w:i/>
        </w:rPr>
        <w:t>…des femmes d’Athènes à Panope.</w:t>
      </w:r>
      <w:r w:rsidRPr="00A464CD">
        <w:t>"                       1012</w:t>
      </w:r>
    </w:p>
    <w:p w:rsidR="00A464CD" w:rsidRPr="00A464CD" w:rsidRDefault="00A464CD" w:rsidP="00A464CD">
      <w:pPr>
        <w:ind w:firstLine="300"/>
        <w:jc w:val="both"/>
        <w:rPr>
          <w:sz w:val="22"/>
          <w:szCs w:val="22"/>
        </w:rPr>
      </w:pPr>
      <w:r w:rsidRPr="00A464CD">
        <w:t>2b-</w:t>
      </w:r>
      <w:r w:rsidRPr="00A464CD">
        <w:tab/>
        <w:t>f° 212 à 214 : de "</w:t>
      </w:r>
      <w:r w:rsidRPr="00A464CD">
        <w:rPr>
          <w:i/>
        </w:rPr>
        <w:t>Pour Barnès…</w:t>
      </w:r>
      <w:r w:rsidRPr="00A464CD">
        <w:t>" à "</w:t>
      </w:r>
      <w:r w:rsidRPr="00A464CD">
        <w:rPr>
          <w:i/>
        </w:rPr>
        <w:t>… quel était ce tombeau ? etc.</w:t>
      </w:r>
      <w:r w:rsidRPr="00A464CD">
        <w:t>"                                       1012-1013</w:t>
      </w:r>
    </w:p>
    <w:p w:rsidR="00A464CD" w:rsidRPr="00A464CD" w:rsidRDefault="00A464CD" w:rsidP="00A464CD">
      <w:pPr>
        <w:ind w:left="1410"/>
        <w:jc w:val="both"/>
        <w:rPr>
          <w:sz w:val="16"/>
          <w:szCs w:val="16"/>
        </w:rPr>
      </w:pPr>
      <w:r w:rsidRPr="00A464CD">
        <w:rPr>
          <w:sz w:val="16"/>
          <w:szCs w:val="16"/>
        </w:rPr>
        <w:t>Cette section est construite en prenant les précautions suivantes : (1) ne pas tenir pas compte de l’inexplicable introduction, par les organisateurs du manuscrit 24776, d’une feuille blanche (f° 212</w:t>
      </w:r>
      <w:r w:rsidRPr="00A464CD">
        <w:rPr>
          <w:sz w:val="16"/>
          <w:szCs w:val="16"/>
          <w:vertAlign w:val="superscript"/>
        </w:rPr>
        <w:t>bis</w:t>
      </w:r>
      <w:r w:rsidRPr="00A464CD">
        <w:rPr>
          <w:sz w:val="16"/>
          <w:szCs w:val="16"/>
        </w:rPr>
        <w:t>) : la phrase commencée en fin du f° 212 s’achève en haut du f° 213 ; (2) supposer que le f° 211 a été détaché du f° 214.</w:t>
      </w:r>
    </w:p>
    <w:p w:rsidR="00A464CD" w:rsidRPr="00A464CD" w:rsidRDefault="00A464CD" w:rsidP="00A464CD">
      <w:pPr>
        <w:jc w:val="both"/>
        <w:rPr>
          <w:sz w:val="22"/>
          <w:szCs w:val="22"/>
        </w:rPr>
      </w:pPr>
      <w:r w:rsidRPr="00A464CD">
        <w:rPr>
          <w:sz w:val="22"/>
          <w:szCs w:val="22"/>
        </w:rPr>
        <w:t xml:space="preserve">     </w:t>
      </w:r>
      <w:r w:rsidRPr="00A464CD">
        <w:rPr>
          <w:bCs/>
          <w:color w:val="000000"/>
          <w:sz w:val="22"/>
          <w:szCs w:val="22"/>
        </w:rPr>
        <w:t>3</w:t>
      </w:r>
      <w:r w:rsidRPr="00A464CD">
        <w:rPr>
          <w:sz w:val="22"/>
          <w:szCs w:val="22"/>
        </w:rPr>
        <w:t>-</w:t>
      </w:r>
      <w:r w:rsidRPr="00A464CD">
        <w:rPr>
          <w:sz w:val="22"/>
          <w:szCs w:val="22"/>
        </w:rPr>
        <w:tab/>
      </w:r>
      <w:r w:rsidRPr="00A464CD">
        <w:t>f° 215 à 217 : de "</w:t>
      </w:r>
      <w:r w:rsidRPr="00A464CD">
        <w:rPr>
          <w:i/>
        </w:rPr>
        <w:t>Maintenant faut-il traduire...</w:t>
      </w:r>
      <w:r w:rsidRPr="00A464CD">
        <w:t>" à "</w:t>
      </w:r>
      <w:r w:rsidRPr="00A464CD">
        <w:rPr>
          <w:i/>
        </w:rPr>
        <w:t>…n’est pas encore traduit.</w:t>
      </w:r>
      <w:r w:rsidRPr="00A464CD">
        <w:t>"                       1013-1015</w:t>
      </w:r>
    </w:p>
    <w:p w:rsidR="00A464CD" w:rsidRPr="00A464CD" w:rsidRDefault="00A464CD" w:rsidP="00A464CD">
      <w:pPr>
        <w:jc w:val="both"/>
      </w:pPr>
    </w:p>
    <w:p w:rsidR="00A464CD" w:rsidRPr="00A464CD" w:rsidRDefault="00A464CD" w:rsidP="00A464CD">
      <w:pPr>
        <w:jc w:val="center"/>
      </w:pPr>
    </w:p>
    <w:p w:rsidR="001870DE" w:rsidRDefault="001870DE" w:rsidP="001870DE">
      <w:pPr>
        <w:rPr>
          <w:bCs/>
        </w:rPr>
      </w:pPr>
      <w:r>
        <w:lastRenderedPageBreak/>
        <w:t xml:space="preserve">Le fragment intitulé </w:t>
      </w:r>
      <w:r w:rsidRPr="0079490D">
        <w:rPr>
          <w:i/>
        </w:rPr>
        <w:t>Sur Homère</w:t>
      </w:r>
      <w:r>
        <w:t xml:space="preserve"> doit être complété d</w:t>
      </w:r>
      <w:r w:rsidRPr="00A464CD">
        <w:t xml:space="preserve">es </w:t>
      </w:r>
      <w:r w:rsidRPr="001870DE">
        <w:rPr>
          <w:b/>
        </w:rPr>
        <w:t>Notes sur Homère</w:t>
      </w:r>
      <w:r>
        <w:rPr>
          <w:i/>
        </w:rPr>
        <w:t xml:space="preserve"> </w:t>
      </w:r>
      <w:r w:rsidRPr="00A464CD">
        <w:rPr>
          <w:b/>
          <w:bCs/>
          <w:highlight w:val="yellow"/>
        </w:rPr>
        <w:t xml:space="preserve"> </w:t>
      </w:r>
      <w:r w:rsidR="00A464CD" w:rsidRPr="00A464CD">
        <w:rPr>
          <w:b/>
          <w:bCs/>
          <w:highlight w:val="yellow"/>
        </w:rPr>
        <w:t>24 776 f° 435-451</w:t>
      </w:r>
      <w:r>
        <w:rPr>
          <w:b/>
          <w:bCs/>
          <w:highlight w:val="yellow"/>
        </w:rPr>
        <w:t> </w:t>
      </w:r>
      <w:r>
        <w:rPr>
          <w:bCs/>
        </w:rPr>
        <w:t xml:space="preserve">; cf. </w:t>
      </w:r>
      <w:r w:rsidRPr="001870DE">
        <w:rPr>
          <w:bCs/>
          <w:i/>
        </w:rPr>
        <w:t>infra</w:t>
      </w:r>
      <w:r>
        <w:rPr>
          <w:bCs/>
        </w:rPr>
        <w:t>.</w:t>
      </w:r>
    </w:p>
    <w:p w:rsidR="00A464CD" w:rsidRPr="00A464CD" w:rsidRDefault="00A464CD" w:rsidP="001870DE">
      <w:r w:rsidRPr="00A464CD">
        <w:t xml:space="preserve"> </w:t>
      </w:r>
    </w:p>
    <w:p w:rsidR="00A464CD" w:rsidRPr="00A464CD" w:rsidRDefault="00A464CD" w:rsidP="00A464CD">
      <w:pPr>
        <w:jc w:val="both"/>
      </w:pPr>
    </w:p>
    <w:p w:rsidR="00A464CD" w:rsidRDefault="00A464CD" w:rsidP="00A464CD">
      <w:pPr>
        <w:jc w:val="center"/>
      </w:pPr>
      <w:r w:rsidRPr="00A464CD">
        <w:t>*</w:t>
      </w:r>
    </w:p>
    <w:p w:rsidR="001E128D" w:rsidRDefault="001E128D" w:rsidP="00A464CD">
      <w:pPr>
        <w:jc w:val="center"/>
      </w:pPr>
      <w:r>
        <w:t>*         *</w:t>
      </w:r>
    </w:p>
    <w:p w:rsidR="001870DE" w:rsidRPr="00A464CD" w:rsidRDefault="001870DE" w:rsidP="00A464CD">
      <w:pPr>
        <w:jc w:val="center"/>
      </w:pPr>
    </w:p>
    <w:p w:rsidR="00E941F8" w:rsidRPr="00150701" w:rsidRDefault="00E941F8" w:rsidP="00E941F8">
      <w:pPr>
        <w:jc w:val="both"/>
      </w:pPr>
      <w:r w:rsidRPr="00150701">
        <w:t xml:space="preserve">A la suite des dix textes étudiés, Paul Meurice et Gustave Simon, ont regroupé, dans le ms 24776, des </w:t>
      </w:r>
      <w:r w:rsidRPr="00150701">
        <w:rPr>
          <w:b/>
          <w:i/>
        </w:rPr>
        <w:t>Notes de travail</w:t>
      </w:r>
      <w:r w:rsidRPr="00150701">
        <w:t xml:space="preserve">, constituées par les ff° </w:t>
      </w:r>
      <w:r w:rsidR="00C714AA" w:rsidRPr="00150701">
        <w:t>218-434</w:t>
      </w:r>
      <w:r w:rsidRPr="00150701">
        <w:t>.</w:t>
      </w:r>
    </w:p>
    <w:p w:rsidR="00A464CD" w:rsidRDefault="00E941F8" w:rsidP="00C714AA">
      <w:pPr>
        <w:jc w:val="both"/>
      </w:pPr>
      <w:r w:rsidRPr="00E941F8">
        <w:rPr>
          <w:color w:val="333333"/>
        </w:rPr>
        <w:br/>
      </w:r>
      <w:r w:rsidR="00150701" w:rsidRPr="00A464CD">
        <w:t>"</w:t>
      </w:r>
      <w:r w:rsidRPr="00150701">
        <w:t xml:space="preserve">Dans la préparation de William Shakespeare, Victor Hugo apporte plus d'ordre que d'habitude ; après avoir constitué un certain nombre de petits dossiers de notes prises, comme toujours, sur les premiers bouts de papier qui se trouvaient sous sa main, il inscrit au coin de plusieurs pages blanches de même format des titres : </w:t>
      </w:r>
      <w:r w:rsidRPr="00150701">
        <w:br/>
        <w:t>Le goût. — Le génie. — Forme et fond. — Critique. — Liberté des poëtes, etc. ; puisant ensuite dans ces petits dossiers, il colle sur la page préparée pour les recevoir les fragments se rapportant au titre inscrit : pensées, citations, remarques, plans, ébauches, sous lesquels on lit parfois : A développer</w:t>
      </w:r>
      <w:r w:rsidR="00150701" w:rsidRPr="00150701">
        <w:t> ;</w:t>
      </w:r>
      <w:r w:rsidRPr="00150701">
        <w:t xml:space="preserve"> sur une page entière il n'y a </w:t>
      </w:r>
      <w:r w:rsidRPr="00150701">
        <w:br/>
        <w:t>quelquefois de collé qu'un lambeau de papier ne portant qu'une phrase ; en revanche, tel titre se répète sur plusieurs feuillets bien remplis</w:t>
      </w:r>
      <w:r w:rsidR="00150701" w:rsidRPr="00150701">
        <w:t> ;</w:t>
      </w:r>
      <w:r w:rsidRPr="00150701">
        <w:t xml:space="preserve"> une réflexion sur la grammaire se glisse au milieu de rapprochements entre Homère et la Bible ; souvent tout un passage est biffé, c'est qu'il a été employé, nous le retrouvons dans le volume </w:t>
      </w:r>
      <w:r w:rsidRPr="00150701">
        <w:br/>
        <w:t xml:space="preserve">publié. </w:t>
      </w:r>
      <w:r w:rsidRPr="00150701">
        <w:br/>
        <w:t>Presque tout le manuscrit de William Shakespeare est contenu en germe dans ces dossiers</w:t>
      </w:r>
      <w:r w:rsidR="00150701" w:rsidRPr="00A464CD">
        <w:t>"</w:t>
      </w:r>
      <w:r w:rsidRPr="00150701">
        <w:t>.</w:t>
      </w:r>
      <w:r w:rsidR="00150701">
        <w:t xml:space="preserve"> (Ed. IN, p. 356).</w:t>
      </w:r>
    </w:p>
    <w:p w:rsidR="001870DE" w:rsidRDefault="001870DE" w:rsidP="00C714AA">
      <w:pPr>
        <w:jc w:val="both"/>
      </w:pPr>
    </w:p>
    <w:p w:rsidR="001870DE" w:rsidRDefault="001870DE" w:rsidP="00C714AA">
      <w:pPr>
        <w:jc w:val="both"/>
      </w:pPr>
      <w:r>
        <w:t xml:space="preserve">Ajoutons </w:t>
      </w:r>
      <w:r w:rsidR="00C57C31">
        <w:t xml:space="preserve">quelques remarques à propos de certaines de ces </w:t>
      </w:r>
      <w:r w:rsidR="00C57C31" w:rsidRPr="00C57C31">
        <w:rPr>
          <w:i/>
        </w:rPr>
        <w:t>Notes de travail</w:t>
      </w:r>
      <w:r w:rsidR="00C57C31">
        <w:t>.</w:t>
      </w:r>
    </w:p>
    <w:p w:rsidR="00C57C31" w:rsidRPr="00150701" w:rsidRDefault="00C57C31" w:rsidP="00C714AA">
      <w:pPr>
        <w:jc w:val="both"/>
      </w:pPr>
    </w:p>
    <w:p w:rsidR="001870DE" w:rsidRPr="00A464CD" w:rsidRDefault="001870DE" w:rsidP="001870DE">
      <w:r w:rsidRPr="00A464CD">
        <w:rPr>
          <w:b/>
          <w:bCs/>
          <w:highlight w:val="yellow"/>
        </w:rPr>
        <w:t>24 776 f° 435-451</w:t>
      </w:r>
      <w:r w:rsidRPr="00A464CD">
        <w:rPr>
          <w:b/>
          <w:bCs/>
        </w:rPr>
        <w:t> :</w:t>
      </w:r>
      <w:r w:rsidRPr="00A464CD">
        <w:t xml:space="preserve"> </w:t>
      </w:r>
      <w:r w:rsidRPr="00A464CD">
        <w:rPr>
          <w:b/>
        </w:rPr>
        <w:t>Notes sur Homère</w:t>
      </w:r>
      <w:r w:rsidRPr="00A464CD">
        <w:rPr>
          <w:b/>
          <w:bCs/>
        </w:rPr>
        <w:t>.</w:t>
      </w:r>
    </w:p>
    <w:p w:rsidR="00E941F8" w:rsidRDefault="001870DE" w:rsidP="00C57C31">
      <w:pPr>
        <w:jc w:val="both"/>
      </w:pPr>
      <w:r>
        <w:t xml:space="preserve">Le fragment intitulé </w:t>
      </w:r>
      <w:r w:rsidRPr="0079490D">
        <w:rPr>
          <w:i/>
        </w:rPr>
        <w:t>Sur Homère</w:t>
      </w:r>
      <w:r>
        <w:t xml:space="preserve"> doit être complété d</w:t>
      </w:r>
      <w:r w:rsidRPr="00A464CD">
        <w:t xml:space="preserve">es </w:t>
      </w:r>
      <w:r w:rsidRPr="00A464CD">
        <w:rPr>
          <w:i/>
        </w:rPr>
        <w:t>Notes sur Homère</w:t>
      </w:r>
      <w:r w:rsidRPr="00A464CD">
        <w:t xml:space="preserve">, </w:t>
      </w:r>
      <w:r>
        <w:t xml:space="preserve">à </w:t>
      </w:r>
      <w:r w:rsidRPr="0079490D">
        <w:t>l’invitation de Victor</w:t>
      </w:r>
      <w:r>
        <w:t xml:space="preserve"> Hugo qui semble les avoir réunis ; cf. f° 208 : </w:t>
      </w:r>
      <w:r w:rsidRPr="00A464CD">
        <w:t>"</w:t>
      </w:r>
      <w:r>
        <w:t>Sur Homère / Choses écrites par moi / et notes</w:t>
      </w:r>
      <w:r w:rsidRPr="00A464CD">
        <w:t>"</w:t>
      </w:r>
      <w:r>
        <w:t xml:space="preserve">. </w:t>
      </w:r>
      <w:r w:rsidRPr="00A464CD">
        <w:t xml:space="preserve">Pour la plupart, </w:t>
      </w:r>
      <w:r>
        <w:t>c</w:t>
      </w:r>
      <w:r w:rsidRPr="00A464CD">
        <w:t>es</w:t>
      </w:r>
      <w:r>
        <w:t xml:space="preserve"> </w:t>
      </w:r>
      <w:r w:rsidRPr="00150701">
        <w:rPr>
          <w:i/>
        </w:rPr>
        <w:t>notes</w:t>
      </w:r>
      <w:r w:rsidRPr="00A464CD">
        <w:t xml:space="preserve"> proviennent de la lecture des deux éditions de </w:t>
      </w:r>
      <w:r w:rsidRPr="00A464CD">
        <w:rPr>
          <w:i/>
        </w:rPr>
        <w:t>L’Iliade</w:t>
      </w:r>
      <w:r w:rsidRPr="00A464CD">
        <w:t xml:space="preserve">, citées </w:t>
      </w:r>
      <w:r w:rsidRPr="00A464CD">
        <w:rPr>
          <w:i/>
        </w:rPr>
        <w:t>supra</w:t>
      </w:r>
      <w:r w:rsidRPr="00A464CD">
        <w:t>, aujourd’hui encore, présentes dans la bibliothèque de Hauteville-House.</w:t>
      </w:r>
    </w:p>
    <w:p w:rsidR="00E941F8" w:rsidRDefault="00E941F8" w:rsidP="00E941F8"/>
    <w:p w:rsidR="00A464CD" w:rsidRDefault="00A464CD" w:rsidP="00A464CD">
      <w:pPr>
        <w:rPr>
          <w:b/>
          <w:bCs/>
        </w:rPr>
      </w:pPr>
      <w:r w:rsidRPr="00A464CD">
        <w:rPr>
          <w:b/>
          <w:bCs/>
          <w:highlight w:val="yellow"/>
        </w:rPr>
        <w:t>24 776 f° 508-518</w:t>
      </w:r>
      <w:r w:rsidRPr="00A464CD">
        <w:rPr>
          <w:b/>
          <w:bCs/>
        </w:rPr>
        <w:t> :</w:t>
      </w:r>
      <w:r w:rsidRPr="00A464CD">
        <w:t xml:space="preserve"> </w:t>
      </w:r>
      <w:r w:rsidRPr="00A464CD">
        <w:rPr>
          <w:b/>
        </w:rPr>
        <w:t>[Notes de François-Victor Hugo]</w:t>
      </w:r>
      <w:r w:rsidRPr="00A464CD">
        <w:rPr>
          <w:b/>
          <w:bCs/>
        </w:rPr>
        <w:t>.</w:t>
      </w:r>
    </w:p>
    <w:p w:rsidR="00F57A13" w:rsidRPr="00A464CD" w:rsidRDefault="00F57A13" w:rsidP="00A464CD">
      <w:r>
        <w:t xml:space="preserve">Nous avons réservé un traitement spécial </w:t>
      </w:r>
      <w:r w:rsidR="00B658D2">
        <w:t xml:space="preserve">cet </w:t>
      </w:r>
      <w:r>
        <w:t>ensemble</w:t>
      </w:r>
      <w:r w:rsidR="00B658D2">
        <w:t>.</w:t>
      </w:r>
    </w:p>
    <w:p w:rsidR="00A464CD" w:rsidRDefault="00A464CD" w:rsidP="00A464CD">
      <w:pPr>
        <w:jc w:val="both"/>
      </w:pPr>
      <w:r w:rsidRPr="00A464CD">
        <w:t>Victor Hugo a recueilli quelques notes rédigées par</w:t>
      </w:r>
      <w:r w:rsidR="00B658D2">
        <w:t xml:space="preserve"> son fils,</w:t>
      </w:r>
      <w:r w:rsidRPr="00A464CD">
        <w:t xml:space="preserve"> François-Victor</w:t>
      </w:r>
      <w:r w:rsidR="00BA1C93">
        <w:t xml:space="preserve"> ; il y </w:t>
      </w:r>
      <w:r w:rsidRPr="00A464CD">
        <w:t>a glissé quelques remarques</w:t>
      </w:r>
      <w:r w:rsidR="00BA1C93">
        <w:t xml:space="preserve">. Il </w:t>
      </w:r>
      <w:r w:rsidR="00BA1C93" w:rsidRPr="00A464CD">
        <w:t>a utilisé</w:t>
      </w:r>
      <w:r w:rsidR="00BA1C93">
        <w:t xml:space="preserve"> ces notes</w:t>
      </w:r>
      <w:r w:rsidR="00BA1C93" w:rsidRPr="00A464CD">
        <w:t xml:space="preserve"> lors de la rédaction de la </w:t>
      </w:r>
      <w:r w:rsidR="00BA1C93" w:rsidRPr="00A464CD">
        <w:rPr>
          <w:i/>
        </w:rPr>
        <w:t>Préface de la nouvelle traduction des œuvres de Shakespeare</w:t>
      </w:r>
      <w:r w:rsidR="00BA1C93" w:rsidRPr="00A464CD">
        <w:t>.</w:t>
      </w:r>
      <w:r w:rsidR="00BA1C93">
        <w:t xml:space="preserve"> C’est pourquoi nous avons cru devoir en renvoyer la transcription et l’analyse critique à un </w:t>
      </w:r>
      <w:r w:rsidR="00BA1C93" w:rsidRPr="00B658D2">
        <w:rPr>
          <w:i/>
        </w:rPr>
        <w:t>Reliquat</w:t>
      </w:r>
      <w:r w:rsidR="00BA1C93">
        <w:t xml:space="preserve"> que nous </w:t>
      </w:r>
      <w:r w:rsidR="001870DE">
        <w:t xml:space="preserve">avons </w:t>
      </w:r>
      <w:r w:rsidR="00BA1C93">
        <w:t>reconstitu</w:t>
      </w:r>
      <w:r w:rsidR="001870DE">
        <w:t xml:space="preserve">é </w:t>
      </w:r>
      <w:r w:rsidR="00BA1C93">
        <w:t>suite à la transcription</w:t>
      </w:r>
      <w:r w:rsidR="001870DE">
        <w:t xml:space="preserve"> du ms n.a.f. 13383) de ladite préface (</w:t>
      </w:r>
      <w:hyperlink r:id="rId25" w:history="1">
        <w:r w:rsidR="001870DE" w:rsidRPr="001870DE">
          <w:rPr>
            <w:rStyle w:val="Lienhypertexte"/>
          </w:rPr>
          <w:sym w:font="Wingdings" w:char="F026"/>
        </w:r>
      </w:hyperlink>
      <w:r w:rsidR="001870DE">
        <w:t>).</w:t>
      </w:r>
      <w:r w:rsidR="00BA1C93">
        <w:t xml:space="preserve"> </w:t>
      </w:r>
    </w:p>
    <w:p w:rsidR="00BA1C93" w:rsidRDefault="00BA1C93" w:rsidP="00A464CD">
      <w:pPr>
        <w:jc w:val="both"/>
      </w:pPr>
    </w:p>
    <w:p w:rsidR="00C57C31" w:rsidRDefault="00C57C31" w:rsidP="00A464CD">
      <w:pPr>
        <w:jc w:val="both"/>
        <w:rPr>
          <w:b/>
          <w:bCs/>
        </w:rPr>
      </w:pPr>
      <w:r w:rsidRPr="00A464CD">
        <w:rPr>
          <w:b/>
          <w:bCs/>
          <w:highlight w:val="yellow"/>
        </w:rPr>
        <w:t>24 776 f° 5</w:t>
      </w:r>
      <w:r>
        <w:rPr>
          <w:b/>
          <w:bCs/>
          <w:highlight w:val="yellow"/>
        </w:rPr>
        <w:t>19</w:t>
      </w:r>
      <w:r w:rsidRPr="00A464CD">
        <w:rPr>
          <w:b/>
          <w:bCs/>
          <w:highlight w:val="yellow"/>
        </w:rPr>
        <w:t>-5</w:t>
      </w:r>
      <w:r>
        <w:rPr>
          <w:b/>
          <w:bCs/>
          <w:highlight w:val="yellow"/>
        </w:rPr>
        <w:t>20</w:t>
      </w:r>
      <w:r w:rsidRPr="00A464CD">
        <w:rPr>
          <w:b/>
          <w:bCs/>
        </w:rPr>
        <w:t> </w:t>
      </w:r>
    </w:p>
    <w:p w:rsidR="00F57A13" w:rsidRDefault="00F57A13" w:rsidP="00A464CD">
      <w:pPr>
        <w:jc w:val="both"/>
        <w:rPr>
          <w:bCs/>
        </w:rPr>
      </w:pPr>
      <w:r>
        <w:rPr>
          <w:bCs/>
        </w:rPr>
        <w:t xml:space="preserve">Cette </w:t>
      </w:r>
      <w:r w:rsidR="00F85A77">
        <w:rPr>
          <w:bCs/>
        </w:rPr>
        <w:t xml:space="preserve">chemise </w:t>
      </w:r>
      <w:r>
        <w:rPr>
          <w:bCs/>
        </w:rPr>
        <w:t>contient,</w:t>
      </w:r>
      <w:r w:rsidR="00F85A77">
        <w:rPr>
          <w:bCs/>
        </w:rPr>
        <w:t xml:space="preserve"> </w:t>
      </w:r>
      <w:r>
        <w:rPr>
          <w:bCs/>
        </w:rPr>
        <w:t xml:space="preserve">outre des notes en relation évidente avec </w:t>
      </w:r>
      <w:r w:rsidRPr="00F57A13">
        <w:rPr>
          <w:bCs/>
          <w:i/>
        </w:rPr>
        <w:t>William Shakespeare</w:t>
      </w:r>
      <w:r>
        <w:rPr>
          <w:bCs/>
        </w:rPr>
        <w:t xml:space="preserve"> (pp. </w:t>
      </w:r>
      <w:r w:rsidR="000354B0">
        <w:rPr>
          <w:bCs/>
        </w:rPr>
        <w:t>1 et 4</w:t>
      </w:r>
      <w:r>
        <w:rPr>
          <w:bCs/>
        </w:rPr>
        <w:t xml:space="preserve">), </w:t>
      </w:r>
      <w:r w:rsidR="000354B0">
        <w:rPr>
          <w:bCs/>
        </w:rPr>
        <w:t xml:space="preserve">une ébauche d’un poème de la </w:t>
      </w:r>
      <w:r w:rsidR="000354B0" w:rsidRPr="00F57A13">
        <w:rPr>
          <w:bCs/>
          <w:i/>
        </w:rPr>
        <w:t>Légende des siècles</w:t>
      </w:r>
      <w:r>
        <w:rPr>
          <w:bCs/>
        </w:rPr>
        <w:t xml:space="preserve"> (pp. 2 et 3).</w:t>
      </w:r>
    </w:p>
    <w:p w:rsidR="00C57C31" w:rsidRPr="00C57C31" w:rsidRDefault="00C57C31" w:rsidP="00A464CD">
      <w:pPr>
        <w:jc w:val="both"/>
      </w:pPr>
    </w:p>
    <w:sectPr w:rsidR="00C57C31" w:rsidRPr="00C57C31" w:rsidSect="00A13B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1150"/>
    <w:multiLevelType w:val="hybridMultilevel"/>
    <w:tmpl w:val="AEA4431A"/>
    <w:lvl w:ilvl="0" w:tplc="999C6776">
      <w:start w:val="1"/>
      <w:numFmt w:val="decimal"/>
      <w:lvlText w:val="%1-"/>
      <w:lvlJc w:val="left"/>
      <w:pPr>
        <w:ind w:left="927" w:hanging="360"/>
      </w:pPr>
      <w:rPr>
        <w:rFonts w:hint="default"/>
        <w:sz w:val="2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291A0391"/>
    <w:multiLevelType w:val="hybridMultilevel"/>
    <w:tmpl w:val="9170DEDE"/>
    <w:lvl w:ilvl="0" w:tplc="70747F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1936D7"/>
    <w:multiLevelType w:val="hybridMultilevel"/>
    <w:tmpl w:val="BF70E3DA"/>
    <w:lvl w:ilvl="0" w:tplc="1D709FD2">
      <w:start w:val="1"/>
      <w:numFmt w:val="decimal"/>
      <w:lvlText w:val="%1-"/>
      <w:lvlJc w:val="left"/>
      <w:pPr>
        <w:ind w:left="705" w:hanging="405"/>
      </w:pPr>
      <w:rPr>
        <w:rFonts w:hint="default"/>
        <w:color w:val="000000"/>
        <w:sz w:val="20"/>
      </w:rPr>
    </w:lvl>
    <w:lvl w:ilvl="1" w:tplc="040C0019" w:tentative="1">
      <w:start w:val="1"/>
      <w:numFmt w:val="lowerLetter"/>
      <w:lvlText w:val="%2."/>
      <w:lvlJc w:val="left"/>
      <w:pPr>
        <w:ind w:left="1380" w:hanging="360"/>
      </w:pPr>
    </w:lvl>
    <w:lvl w:ilvl="2" w:tplc="040C001B" w:tentative="1">
      <w:start w:val="1"/>
      <w:numFmt w:val="lowerRoman"/>
      <w:lvlText w:val="%3."/>
      <w:lvlJc w:val="right"/>
      <w:pPr>
        <w:ind w:left="2100" w:hanging="180"/>
      </w:pPr>
    </w:lvl>
    <w:lvl w:ilvl="3" w:tplc="040C000F" w:tentative="1">
      <w:start w:val="1"/>
      <w:numFmt w:val="decimal"/>
      <w:lvlText w:val="%4."/>
      <w:lvlJc w:val="left"/>
      <w:pPr>
        <w:ind w:left="2820" w:hanging="360"/>
      </w:pPr>
    </w:lvl>
    <w:lvl w:ilvl="4" w:tplc="040C0019" w:tentative="1">
      <w:start w:val="1"/>
      <w:numFmt w:val="lowerLetter"/>
      <w:lvlText w:val="%5."/>
      <w:lvlJc w:val="left"/>
      <w:pPr>
        <w:ind w:left="3540" w:hanging="360"/>
      </w:pPr>
    </w:lvl>
    <w:lvl w:ilvl="5" w:tplc="040C001B" w:tentative="1">
      <w:start w:val="1"/>
      <w:numFmt w:val="lowerRoman"/>
      <w:lvlText w:val="%6."/>
      <w:lvlJc w:val="right"/>
      <w:pPr>
        <w:ind w:left="4260" w:hanging="180"/>
      </w:pPr>
    </w:lvl>
    <w:lvl w:ilvl="6" w:tplc="040C000F" w:tentative="1">
      <w:start w:val="1"/>
      <w:numFmt w:val="decimal"/>
      <w:lvlText w:val="%7."/>
      <w:lvlJc w:val="left"/>
      <w:pPr>
        <w:ind w:left="4980" w:hanging="360"/>
      </w:pPr>
    </w:lvl>
    <w:lvl w:ilvl="7" w:tplc="040C0019" w:tentative="1">
      <w:start w:val="1"/>
      <w:numFmt w:val="lowerLetter"/>
      <w:lvlText w:val="%8."/>
      <w:lvlJc w:val="left"/>
      <w:pPr>
        <w:ind w:left="5700" w:hanging="360"/>
      </w:pPr>
    </w:lvl>
    <w:lvl w:ilvl="8" w:tplc="040C001B" w:tentative="1">
      <w:start w:val="1"/>
      <w:numFmt w:val="lowerRoman"/>
      <w:lvlText w:val="%9."/>
      <w:lvlJc w:val="right"/>
      <w:pPr>
        <w:ind w:left="6420" w:hanging="180"/>
      </w:pPr>
    </w:lvl>
  </w:abstractNum>
  <w:abstractNum w:abstractNumId="3">
    <w:nsid w:val="3CF00068"/>
    <w:multiLevelType w:val="hybridMultilevel"/>
    <w:tmpl w:val="6608D980"/>
    <w:lvl w:ilvl="0" w:tplc="3AAEB168">
      <w:start w:val="2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24F0AFC"/>
    <w:multiLevelType w:val="hybridMultilevel"/>
    <w:tmpl w:val="823EF1D6"/>
    <w:lvl w:ilvl="0" w:tplc="379A8CC2">
      <w:start w:val="2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432C00"/>
    <w:multiLevelType w:val="hybridMultilevel"/>
    <w:tmpl w:val="12D4B572"/>
    <w:lvl w:ilvl="0" w:tplc="F1502CDC">
      <w:start w:val="1"/>
      <w:numFmt w:val="decimal"/>
      <w:lvlText w:val="%1."/>
      <w:lvlJc w:val="left"/>
      <w:pPr>
        <w:ind w:left="927" w:hanging="360"/>
      </w:pPr>
      <w:rPr>
        <w:sz w:val="20"/>
        <w:szCs w:val="20"/>
      </w:rPr>
    </w:lvl>
    <w:lvl w:ilvl="1" w:tplc="040C0019">
      <w:start w:val="1"/>
      <w:numFmt w:val="lowerLetter"/>
      <w:lvlText w:val="%2."/>
      <w:lvlJc w:val="left"/>
      <w:pPr>
        <w:ind w:left="1647" w:hanging="360"/>
      </w:pPr>
    </w:lvl>
    <w:lvl w:ilvl="2" w:tplc="040C001B">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5F367853"/>
    <w:multiLevelType w:val="hybridMultilevel"/>
    <w:tmpl w:val="CA8003FA"/>
    <w:lvl w:ilvl="0" w:tplc="70747F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06B3FF4"/>
    <w:multiLevelType w:val="hybridMultilevel"/>
    <w:tmpl w:val="6D56E970"/>
    <w:lvl w:ilvl="0" w:tplc="F1502CDC">
      <w:start w:val="1"/>
      <w:numFmt w:val="decimal"/>
      <w:lvlText w:val="%1."/>
      <w:lvlJc w:val="left"/>
      <w:pPr>
        <w:ind w:left="927" w:hanging="360"/>
      </w:pPr>
      <w:rPr>
        <w:sz w:val="20"/>
        <w:szCs w:val="20"/>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1E42B4C"/>
    <w:multiLevelType w:val="hybridMultilevel"/>
    <w:tmpl w:val="0B4E182C"/>
    <w:lvl w:ilvl="0" w:tplc="70747F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EC6B63"/>
    <w:multiLevelType w:val="hybridMultilevel"/>
    <w:tmpl w:val="05527F70"/>
    <w:lvl w:ilvl="0" w:tplc="588EA622">
      <w:start w:val="9"/>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7475705"/>
    <w:multiLevelType w:val="hybridMultilevel"/>
    <w:tmpl w:val="74765F7C"/>
    <w:lvl w:ilvl="0" w:tplc="040C000F">
      <w:start w:val="1"/>
      <w:numFmt w:val="decimal"/>
      <w:lvlText w:val="%1."/>
      <w:lvlJc w:val="left"/>
      <w:pPr>
        <w:ind w:left="927" w:hanging="360"/>
      </w:pPr>
      <w:rPr>
        <w:rFonts w:hint="default"/>
        <w:sz w:val="20"/>
        <w:szCs w:val="20"/>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6BEE4521"/>
    <w:multiLevelType w:val="hybridMultilevel"/>
    <w:tmpl w:val="30EC298A"/>
    <w:lvl w:ilvl="0" w:tplc="C002B736">
      <w:start w:val="2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0385EF1"/>
    <w:multiLevelType w:val="hybridMultilevel"/>
    <w:tmpl w:val="F8A451C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3">
    <w:nsid w:val="7521413D"/>
    <w:multiLevelType w:val="hybridMultilevel"/>
    <w:tmpl w:val="DE8C49DA"/>
    <w:lvl w:ilvl="0" w:tplc="510CCF14">
      <w:start w:val="2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7B9C6CA6"/>
    <w:multiLevelType w:val="hybridMultilevel"/>
    <w:tmpl w:val="ACB640A8"/>
    <w:lvl w:ilvl="0" w:tplc="70747F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0"/>
  </w:num>
  <w:num w:numId="3">
    <w:abstractNumId w:val="14"/>
  </w:num>
  <w:num w:numId="4">
    <w:abstractNumId w:val="3"/>
  </w:num>
  <w:num w:numId="5">
    <w:abstractNumId w:val="1"/>
  </w:num>
  <w:num w:numId="6">
    <w:abstractNumId w:val="6"/>
  </w:num>
  <w:num w:numId="7">
    <w:abstractNumId w:val="4"/>
  </w:num>
  <w:num w:numId="8">
    <w:abstractNumId w:val="8"/>
  </w:num>
  <w:num w:numId="9">
    <w:abstractNumId w:val="11"/>
  </w:num>
  <w:num w:numId="10">
    <w:abstractNumId w:val="2"/>
  </w:num>
  <w:num w:numId="11">
    <w:abstractNumId w:val="9"/>
  </w:num>
  <w:num w:numId="12">
    <w:abstractNumId w:val="0"/>
  </w:num>
  <w:num w:numId="13">
    <w:abstractNumId w:val="12"/>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proofState w:spelling="clean"/>
  <w:defaultTabStop w:val="708"/>
  <w:hyphenationZone w:val="425"/>
  <w:characterSpacingControl w:val="doNotCompress"/>
  <w:compat/>
  <w:rsids>
    <w:rsidRoot w:val="00942E49"/>
    <w:rsid w:val="000354B0"/>
    <w:rsid w:val="00043C7A"/>
    <w:rsid w:val="000501D8"/>
    <w:rsid w:val="00055BEC"/>
    <w:rsid w:val="00102FE6"/>
    <w:rsid w:val="0010492F"/>
    <w:rsid w:val="00150701"/>
    <w:rsid w:val="001535D6"/>
    <w:rsid w:val="001823F1"/>
    <w:rsid w:val="001870DE"/>
    <w:rsid w:val="001B50F4"/>
    <w:rsid w:val="001D6816"/>
    <w:rsid w:val="001E128D"/>
    <w:rsid w:val="00202379"/>
    <w:rsid w:val="003A4F61"/>
    <w:rsid w:val="003F5708"/>
    <w:rsid w:val="004F7340"/>
    <w:rsid w:val="00595C01"/>
    <w:rsid w:val="005D0FAC"/>
    <w:rsid w:val="00666FB2"/>
    <w:rsid w:val="00670952"/>
    <w:rsid w:val="006A2E5C"/>
    <w:rsid w:val="007669E3"/>
    <w:rsid w:val="0079490D"/>
    <w:rsid w:val="007C3C58"/>
    <w:rsid w:val="007D465B"/>
    <w:rsid w:val="007E0AE6"/>
    <w:rsid w:val="008E2428"/>
    <w:rsid w:val="008F1A90"/>
    <w:rsid w:val="00942E49"/>
    <w:rsid w:val="009B0573"/>
    <w:rsid w:val="00A13B61"/>
    <w:rsid w:val="00A33221"/>
    <w:rsid w:val="00A464CD"/>
    <w:rsid w:val="00A762AF"/>
    <w:rsid w:val="00B34643"/>
    <w:rsid w:val="00B63C1D"/>
    <w:rsid w:val="00B658D2"/>
    <w:rsid w:val="00BA1C93"/>
    <w:rsid w:val="00BD134F"/>
    <w:rsid w:val="00C261AD"/>
    <w:rsid w:val="00C57C31"/>
    <w:rsid w:val="00C714AA"/>
    <w:rsid w:val="00CA616F"/>
    <w:rsid w:val="00D31236"/>
    <w:rsid w:val="00D745E7"/>
    <w:rsid w:val="00E941F8"/>
    <w:rsid w:val="00F57A13"/>
    <w:rsid w:val="00F85A77"/>
    <w:rsid w:val="00FB3CB1"/>
    <w:rsid w:val="00FF19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rsid w:val="00D745E7"/>
    <w:pPr>
      <w:spacing w:after="120"/>
    </w:pPr>
  </w:style>
  <w:style w:type="character" w:customStyle="1" w:styleId="CorpsdetexteCar">
    <w:name w:val="Corps de texte Car"/>
    <w:basedOn w:val="Policepardfaut"/>
    <w:link w:val="Corpsdetexte"/>
    <w:semiHidden/>
    <w:rsid w:val="00D745E7"/>
    <w:rPr>
      <w:rFonts w:ascii="Times New Roman" w:eastAsia="Times New Roman" w:hAnsi="Times New Roman" w:cs="Times New Roman"/>
      <w:sz w:val="20"/>
      <w:szCs w:val="20"/>
      <w:lang w:eastAsia="fr-FR"/>
    </w:rPr>
  </w:style>
  <w:style w:type="character" w:styleId="Lienhypertexte">
    <w:name w:val="Hyperlink"/>
    <w:uiPriority w:val="99"/>
    <w:unhideWhenUsed/>
    <w:rsid w:val="00D745E7"/>
    <w:rPr>
      <w:color w:val="0000FF"/>
      <w:u w:val="single"/>
    </w:rPr>
  </w:style>
  <w:style w:type="character" w:customStyle="1" w:styleId="pl-dv-unittitle">
    <w:name w:val="pl-dv-unittitle"/>
    <w:basedOn w:val="Policepardfaut"/>
    <w:rsid w:val="00D745E7"/>
  </w:style>
  <w:style w:type="table" w:styleId="Grilledutableau">
    <w:name w:val="Table Grid"/>
    <w:basedOn w:val="TableauNormal"/>
    <w:uiPriority w:val="39"/>
    <w:rsid w:val="00D745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ucuneliste1">
    <w:name w:val="Aucune liste1"/>
    <w:next w:val="Aucuneliste"/>
    <w:uiPriority w:val="99"/>
    <w:semiHidden/>
    <w:unhideWhenUsed/>
    <w:rsid w:val="00A464CD"/>
  </w:style>
  <w:style w:type="table" w:customStyle="1" w:styleId="Grilledutableau1">
    <w:name w:val="Grille du tableau1"/>
    <w:basedOn w:val="TableauNormal"/>
    <w:next w:val="Grilledutableau"/>
    <w:uiPriority w:val="39"/>
    <w:rsid w:val="00A464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2">
    <w:name w:val="Body Text 2"/>
    <w:basedOn w:val="Normal"/>
    <w:link w:val="Corpsdetexte2Car"/>
    <w:uiPriority w:val="99"/>
    <w:semiHidden/>
    <w:unhideWhenUsed/>
    <w:rsid w:val="00A464CD"/>
    <w:pPr>
      <w:spacing w:after="120" w:line="480" w:lineRule="auto"/>
    </w:pPr>
  </w:style>
  <w:style w:type="character" w:customStyle="1" w:styleId="Corpsdetexte2Car">
    <w:name w:val="Corps de texte 2 Car"/>
    <w:basedOn w:val="Policepardfaut"/>
    <w:link w:val="Corpsdetexte2"/>
    <w:uiPriority w:val="99"/>
    <w:semiHidden/>
    <w:rsid w:val="00A464CD"/>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A464CD"/>
    <w:rPr>
      <w:color w:val="954F72" w:themeColor="followedHyperlink"/>
      <w:u w:val="single"/>
    </w:rPr>
  </w:style>
  <w:style w:type="paragraph" w:styleId="Paragraphedeliste">
    <w:name w:val="List Paragraph"/>
    <w:basedOn w:val="Normal"/>
    <w:uiPriority w:val="34"/>
    <w:qFormat/>
    <w:rsid w:val="00A464CD"/>
    <w:pPr>
      <w:ind w:left="720"/>
      <w:contextualSpacing/>
    </w:pPr>
  </w:style>
  <w:style w:type="character" w:customStyle="1" w:styleId="pag527st000293">
    <w:name w:val="pag_527_st000293"/>
    <w:basedOn w:val="Policepardfaut"/>
    <w:rsid w:val="00A464CD"/>
  </w:style>
  <w:style w:type="character" w:customStyle="1" w:styleId="pag527st000294">
    <w:name w:val="pag_527_st000294"/>
    <w:basedOn w:val="Policepardfaut"/>
    <w:rsid w:val="00A464CD"/>
  </w:style>
  <w:style w:type="character" w:customStyle="1" w:styleId="pag527st000295">
    <w:name w:val="pag_527_st000295"/>
    <w:basedOn w:val="Policepardfaut"/>
    <w:rsid w:val="00A464CD"/>
  </w:style>
  <w:style w:type="character" w:customStyle="1" w:styleId="pag527st000296">
    <w:name w:val="pag_527_st000296"/>
    <w:basedOn w:val="Policepardfaut"/>
    <w:rsid w:val="00A464CD"/>
  </w:style>
  <w:style w:type="character" w:customStyle="1" w:styleId="pag527st000297">
    <w:name w:val="pag_527_st000297"/>
    <w:basedOn w:val="Policepardfaut"/>
    <w:rsid w:val="00A464CD"/>
  </w:style>
  <w:style w:type="character" w:customStyle="1" w:styleId="pag527st000298">
    <w:name w:val="pag_527_st000298"/>
    <w:basedOn w:val="Policepardfaut"/>
    <w:rsid w:val="00A464CD"/>
  </w:style>
  <w:style w:type="character" w:customStyle="1" w:styleId="pag527st000299">
    <w:name w:val="pag_527_st000299"/>
    <w:basedOn w:val="Policepardfaut"/>
    <w:rsid w:val="00A464CD"/>
  </w:style>
  <w:style w:type="character" w:customStyle="1" w:styleId="pag527st000300">
    <w:name w:val="pag_527_st000300"/>
    <w:basedOn w:val="Policepardfaut"/>
    <w:rsid w:val="00A464CD"/>
  </w:style>
  <w:style w:type="character" w:customStyle="1" w:styleId="pag527st000301">
    <w:name w:val="pag_527_st000301"/>
    <w:basedOn w:val="Policepardfaut"/>
    <w:rsid w:val="00A464CD"/>
  </w:style>
  <w:style w:type="character" w:customStyle="1" w:styleId="pag527st000302">
    <w:name w:val="pag_527_st000302"/>
    <w:basedOn w:val="Policepardfaut"/>
    <w:rsid w:val="00A464CD"/>
  </w:style>
  <w:style w:type="character" w:customStyle="1" w:styleId="pag527st000303">
    <w:name w:val="pag_527_st000303"/>
    <w:basedOn w:val="Policepardfaut"/>
    <w:rsid w:val="00A464CD"/>
  </w:style>
  <w:style w:type="character" w:customStyle="1" w:styleId="pag527st000304">
    <w:name w:val="pag_527_st000304"/>
    <w:basedOn w:val="Policepardfaut"/>
    <w:rsid w:val="00A464CD"/>
  </w:style>
  <w:style w:type="character" w:customStyle="1" w:styleId="pag527st000305">
    <w:name w:val="pag_527_st000305"/>
    <w:basedOn w:val="Policepardfaut"/>
    <w:rsid w:val="00A464CD"/>
  </w:style>
  <w:style w:type="character" w:customStyle="1" w:styleId="pag527st000306">
    <w:name w:val="pag_527_st000306"/>
    <w:basedOn w:val="Policepardfaut"/>
    <w:rsid w:val="00A464CD"/>
  </w:style>
  <w:style w:type="character" w:customStyle="1" w:styleId="pag527st000307">
    <w:name w:val="pag_527_st000307"/>
    <w:basedOn w:val="Policepardfaut"/>
    <w:rsid w:val="00A464CD"/>
  </w:style>
  <w:style w:type="character" w:customStyle="1" w:styleId="pag527st000308">
    <w:name w:val="pag_527_st000308"/>
    <w:basedOn w:val="Policepardfaut"/>
    <w:rsid w:val="00A464CD"/>
  </w:style>
  <w:style w:type="character" w:customStyle="1" w:styleId="pag527st000309">
    <w:name w:val="pag_527_st000309"/>
    <w:basedOn w:val="Policepardfaut"/>
    <w:rsid w:val="00A464CD"/>
  </w:style>
  <w:style w:type="character" w:customStyle="1" w:styleId="pag527st000310">
    <w:name w:val="pag_527_st000310"/>
    <w:basedOn w:val="Policepardfaut"/>
    <w:rsid w:val="00A464CD"/>
  </w:style>
  <w:style w:type="character" w:customStyle="1" w:styleId="pag527st000311">
    <w:name w:val="pag_527_st000311"/>
    <w:basedOn w:val="Policepardfaut"/>
    <w:rsid w:val="00A464CD"/>
  </w:style>
  <w:style w:type="character" w:customStyle="1" w:styleId="pag527st000312">
    <w:name w:val="pag_527_st000312"/>
    <w:basedOn w:val="Policepardfaut"/>
    <w:rsid w:val="00A464CD"/>
  </w:style>
  <w:style w:type="character" w:customStyle="1" w:styleId="pag527st000313">
    <w:name w:val="pag_527_st000313"/>
    <w:basedOn w:val="Policepardfaut"/>
    <w:rsid w:val="00A464CD"/>
  </w:style>
  <w:style w:type="character" w:customStyle="1" w:styleId="pag527st000314">
    <w:name w:val="pag_527_st000314"/>
    <w:basedOn w:val="Policepardfaut"/>
    <w:rsid w:val="00A464CD"/>
  </w:style>
  <w:style w:type="character" w:customStyle="1" w:styleId="pag527st000315">
    <w:name w:val="pag_527_st000315"/>
    <w:basedOn w:val="Policepardfaut"/>
    <w:rsid w:val="00A464CD"/>
  </w:style>
  <w:style w:type="character" w:customStyle="1" w:styleId="pag527st000316">
    <w:name w:val="pag_527_st000316"/>
    <w:basedOn w:val="Policepardfaut"/>
    <w:rsid w:val="00A464CD"/>
  </w:style>
  <w:style w:type="character" w:customStyle="1" w:styleId="pag527st000317">
    <w:name w:val="pag_527_st000317"/>
    <w:basedOn w:val="Policepardfaut"/>
    <w:rsid w:val="00A464CD"/>
  </w:style>
  <w:style w:type="character" w:customStyle="1" w:styleId="pag527st000318">
    <w:name w:val="pag_527_st000318"/>
    <w:basedOn w:val="Policepardfaut"/>
    <w:rsid w:val="00A464CD"/>
  </w:style>
  <w:style w:type="character" w:customStyle="1" w:styleId="pag527st000319">
    <w:name w:val="pag_527_st000319"/>
    <w:basedOn w:val="Policepardfaut"/>
    <w:rsid w:val="00A464CD"/>
  </w:style>
  <w:style w:type="character" w:customStyle="1" w:styleId="pag527st000320">
    <w:name w:val="pag_527_st000320"/>
    <w:basedOn w:val="Policepardfaut"/>
    <w:rsid w:val="00A464CD"/>
  </w:style>
  <w:style w:type="character" w:customStyle="1" w:styleId="pag527st000321">
    <w:name w:val="pag_527_st000321"/>
    <w:basedOn w:val="Policepardfaut"/>
    <w:rsid w:val="00A464CD"/>
  </w:style>
  <w:style w:type="character" w:customStyle="1" w:styleId="pag00000307st000258">
    <w:name w:val="pag_00000307_st000258"/>
    <w:basedOn w:val="Policepardfaut"/>
    <w:rsid w:val="00A464CD"/>
  </w:style>
  <w:style w:type="character" w:customStyle="1" w:styleId="pag00000307st000259">
    <w:name w:val="pag_00000307_st000259"/>
    <w:basedOn w:val="Policepardfaut"/>
    <w:rsid w:val="00A464CD"/>
  </w:style>
  <w:style w:type="character" w:customStyle="1" w:styleId="pag00000307st000260">
    <w:name w:val="pag_00000307_st000260"/>
    <w:basedOn w:val="Policepardfaut"/>
    <w:rsid w:val="00A464CD"/>
  </w:style>
  <w:style w:type="character" w:customStyle="1" w:styleId="pag00000307st000261">
    <w:name w:val="pag_00000307_st000261"/>
    <w:basedOn w:val="Policepardfaut"/>
    <w:rsid w:val="00A464CD"/>
  </w:style>
  <w:style w:type="character" w:customStyle="1" w:styleId="pag00000307st000262">
    <w:name w:val="pag_00000307_st000262"/>
    <w:basedOn w:val="Policepardfaut"/>
    <w:rsid w:val="00A464CD"/>
  </w:style>
  <w:style w:type="character" w:customStyle="1" w:styleId="pag00000307st000263">
    <w:name w:val="pag_00000307_st000263"/>
    <w:basedOn w:val="Policepardfaut"/>
    <w:rsid w:val="00A464CD"/>
  </w:style>
  <w:style w:type="character" w:customStyle="1" w:styleId="pag00000307st000264">
    <w:name w:val="pag_00000307_st000264"/>
    <w:basedOn w:val="Policepardfaut"/>
    <w:rsid w:val="00A464CD"/>
  </w:style>
  <w:style w:type="character" w:customStyle="1" w:styleId="pag00000307st000265">
    <w:name w:val="pag_00000307_st000265"/>
    <w:basedOn w:val="Policepardfaut"/>
    <w:rsid w:val="00A464CD"/>
  </w:style>
  <w:style w:type="character" w:customStyle="1" w:styleId="pag00000307st000266">
    <w:name w:val="pag_00000307_st000266"/>
    <w:basedOn w:val="Policepardfaut"/>
    <w:rsid w:val="00A464CD"/>
  </w:style>
  <w:style w:type="character" w:customStyle="1" w:styleId="pag00000307st000267">
    <w:name w:val="pag_00000307_st000267"/>
    <w:basedOn w:val="Policepardfaut"/>
    <w:rsid w:val="00A464CD"/>
  </w:style>
  <w:style w:type="character" w:customStyle="1" w:styleId="pag00000307st000268">
    <w:name w:val="pag_00000307_st000268"/>
    <w:basedOn w:val="Policepardfaut"/>
    <w:rsid w:val="00A464CD"/>
  </w:style>
  <w:style w:type="character" w:customStyle="1" w:styleId="pag00000307st000269">
    <w:name w:val="pag_00000307_st000269"/>
    <w:basedOn w:val="Policepardfaut"/>
    <w:rsid w:val="00A464CD"/>
  </w:style>
  <w:style w:type="character" w:customStyle="1" w:styleId="pag00000307st000270">
    <w:name w:val="pag_00000307_st000270"/>
    <w:basedOn w:val="Policepardfaut"/>
    <w:rsid w:val="00A464CD"/>
  </w:style>
  <w:style w:type="character" w:customStyle="1" w:styleId="pag00000307st000271">
    <w:name w:val="pag_00000307_st000271"/>
    <w:basedOn w:val="Policepardfaut"/>
    <w:rsid w:val="00A464CD"/>
  </w:style>
  <w:style w:type="character" w:customStyle="1" w:styleId="pag00000307st000272">
    <w:name w:val="pag_00000307_st000272"/>
    <w:basedOn w:val="Policepardfaut"/>
    <w:rsid w:val="00A464CD"/>
  </w:style>
  <w:style w:type="character" w:customStyle="1" w:styleId="pag00000307st000273">
    <w:name w:val="pag_00000307_st000273"/>
    <w:basedOn w:val="Policepardfaut"/>
    <w:rsid w:val="00A464CD"/>
  </w:style>
  <w:style w:type="character" w:customStyle="1" w:styleId="pag00000307st000274">
    <w:name w:val="pag_00000307_st000274"/>
    <w:basedOn w:val="Policepardfaut"/>
    <w:rsid w:val="00A464CD"/>
  </w:style>
  <w:style w:type="character" w:customStyle="1" w:styleId="pag00000307st000275">
    <w:name w:val="pag_00000307_st000275"/>
    <w:basedOn w:val="Policepardfaut"/>
    <w:rsid w:val="00A464CD"/>
  </w:style>
  <w:style w:type="character" w:customStyle="1" w:styleId="pag00000307st000276">
    <w:name w:val="pag_00000307_st000276"/>
    <w:basedOn w:val="Policepardfaut"/>
    <w:rsid w:val="00A464CD"/>
  </w:style>
  <w:style w:type="character" w:customStyle="1" w:styleId="pag00000312st000053">
    <w:name w:val="pag_00000312_st000053"/>
    <w:basedOn w:val="Policepardfaut"/>
    <w:rsid w:val="00A464CD"/>
  </w:style>
  <w:style w:type="character" w:customStyle="1" w:styleId="pag00000312st000054">
    <w:name w:val="pag_00000312_st000054"/>
    <w:basedOn w:val="Policepardfaut"/>
    <w:rsid w:val="00A464CD"/>
  </w:style>
  <w:style w:type="character" w:customStyle="1" w:styleId="pag00000312st000055">
    <w:name w:val="pag_00000312_st000055"/>
    <w:basedOn w:val="Policepardfaut"/>
    <w:rsid w:val="00A464CD"/>
  </w:style>
  <w:style w:type="character" w:customStyle="1" w:styleId="pag00000312st000056">
    <w:name w:val="pag_00000312_st000056"/>
    <w:basedOn w:val="Policepardfaut"/>
    <w:rsid w:val="00A464CD"/>
  </w:style>
  <w:style w:type="character" w:customStyle="1" w:styleId="pag00000312st000057">
    <w:name w:val="pag_00000312_st000057"/>
    <w:basedOn w:val="Policepardfaut"/>
    <w:rsid w:val="00A464CD"/>
  </w:style>
  <w:style w:type="character" w:customStyle="1" w:styleId="pag00000312st000058">
    <w:name w:val="pag_00000312_st000058"/>
    <w:basedOn w:val="Policepardfaut"/>
    <w:rsid w:val="00A464CD"/>
  </w:style>
  <w:style w:type="character" w:customStyle="1" w:styleId="pag00000312st000059">
    <w:name w:val="pag_00000312_st000059"/>
    <w:basedOn w:val="Policepardfaut"/>
    <w:rsid w:val="00A464CD"/>
  </w:style>
  <w:style w:type="character" w:customStyle="1" w:styleId="pag00000312st000060">
    <w:name w:val="pag_00000312_st000060"/>
    <w:basedOn w:val="Policepardfaut"/>
    <w:rsid w:val="00A464CD"/>
  </w:style>
  <w:style w:type="character" w:customStyle="1" w:styleId="pag00000312st000061">
    <w:name w:val="pag_00000312_st000061"/>
    <w:basedOn w:val="Policepardfaut"/>
    <w:rsid w:val="00A464CD"/>
  </w:style>
  <w:style w:type="character" w:customStyle="1" w:styleId="pag00000312st000062">
    <w:name w:val="pag_00000312_st000062"/>
    <w:basedOn w:val="Policepardfaut"/>
    <w:rsid w:val="00A464CD"/>
  </w:style>
  <w:style w:type="character" w:customStyle="1" w:styleId="pag00000312st000063">
    <w:name w:val="pag_00000312_st000063"/>
    <w:basedOn w:val="Policepardfaut"/>
    <w:rsid w:val="00A464CD"/>
  </w:style>
  <w:style w:type="character" w:customStyle="1" w:styleId="highlight">
    <w:name w:val="highlight"/>
    <w:basedOn w:val="Policepardfaut"/>
    <w:rsid w:val="00A464CD"/>
  </w:style>
  <w:style w:type="character" w:customStyle="1" w:styleId="pag00000312st000064">
    <w:name w:val="pag_00000312_st000064"/>
    <w:basedOn w:val="Policepardfaut"/>
    <w:rsid w:val="00A464CD"/>
  </w:style>
  <w:style w:type="character" w:customStyle="1" w:styleId="pag00000312st000065">
    <w:name w:val="pag_00000312_st000065"/>
    <w:basedOn w:val="Policepardfaut"/>
    <w:rsid w:val="00A464CD"/>
  </w:style>
  <w:style w:type="paragraph" w:styleId="En-tte">
    <w:name w:val="header"/>
    <w:basedOn w:val="Normal"/>
    <w:link w:val="En-tteCar"/>
    <w:uiPriority w:val="99"/>
    <w:unhideWhenUsed/>
    <w:rsid w:val="00A464CD"/>
    <w:pPr>
      <w:tabs>
        <w:tab w:val="center" w:pos="4536"/>
        <w:tab w:val="right" w:pos="9072"/>
      </w:tabs>
    </w:pPr>
  </w:style>
  <w:style w:type="character" w:customStyle="1" w:styleId="En-tteCar">
    <w:name w:val="En-tête Car"/>
    <w:basedOn w:val="Policepardfaut"/>
    <w:link w:val="En-tte"/>
    <w:uiPriority w:val="99"/>
    <w:rsid w:val="00A464CD"/>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A464CD"/>
    <w:pPr>
      <w:tabs>
        <w:tab w:val="center" w:pos="4536"/>
        <w:tab w:val="right" w:pos="9072"/>
      </w:tabs>
    </w:pPr>
  </w:style>
  <w:style w:type="character" w:customStyle="1" w:styleId="PieddepageCar">
    <w:name w:val="Pied de page Car"/>
    <w:basedOn w:val="Policepardfaut"/>
    <w:link w:val="Pieddepage"/>
    <w:uiPriority w:val="99"/>
    <w:rsid w:val="00A464CD"/>
    <w:rPr>
      <w:rFonts w:ascii="Times New Roman" w:eastAsia="Times New Roman" w:hAnsi="Times New Roman" w:cs="Times New Roman"/>
      <w:sz w:val="20"/>
      <w:szCs w:val="20"/>
      <w:lang w:eastAsia="fr-FR"/>
    </w:rPr>
  </w:style>
  <w:style w:type="character" w:customStyle="1" w:styleId="pag00000357st000011">
    <w:name w:val="pag_00000357_st000011"/>
    <w:basedOn w:val="Policepardfaut"/>
    <w:rsid w:val="00A464CD"/>
  </w:style>
  <w:style w:type="character" w:customStyle="1" w:styleId="pag00000357st000012">
    <w:name w:val="pag_00000357_st000012"/>
    <w:basedOn w:val="Policepardfaut"/>
    <w:rsid w:val="00A464CD"/>
  </w:style>
  <w:style w:type="character" w:customStyle="1" w:styleId="pag00000357st000013">
    <w:name w:val="pag_00000357_st000013"/>
    <w:basedOn w:val="Policepardfaut"/>
    <w:rsid w:val="00A464CD"/>
  </w:style>
  <w:style w:type="character" w:customStyle="1" w:styleId="pag00000357st000014">
    <w:name w:val="pag_00000357_st000014"/>
    <w:basedOn w:val="Policepardfaut"/>
    <w:rsid w:val="00A464CD"/>
  </w:style>
  <w:style w:type="character" w:customStyle="1" w:styleId="pag00000357st000015">
    <w:name w:val="pag_00000357_st000015"/>
    <w:basedOn w:val="Policepardfaut"/>
    <w:rsid w:val="00A464CD"/>
  </w:style>
  <w:style w:type="character" w:customStyle="1" w:styleId="pag00000357st000016">
    <w:name w:val="pag_00000357_st000016"/>
    <w:basedOn w:val="Policepardfaut"/>
    <w:rsid w:val="00A464CD"/>
  </w:style>
  <w:style w:type="character" w:customStyle="1" w:styleId="pag00000357st000017">
    <w:name w:val="pag_00000357_st000017"/>
    <w:basedOn w:val="Policepardfaut"/>
    <w:rsid w:val="00A464CD"/>
  </w:style>
  <w:style w:type="character" w:customStyle="1" w:styleId="pag00000357st000018">
    <w:name w:val="pag_00000357_st000018"/>
    <w:basedOn w:val="Policepardfaut"/>
    <w:rsid w:val="00A464CD"/>
  </w:style>
  <w:style w:type="character" w:customStyle="1" w:styleId="pag00000357st000019">
    <w:name w:val="pag_00000357_st000019"/>
    <w:basedOn w:val="Policepardfaut"/>
    <w:rsid w:val="00A464CD"/>
  </w:style>
  <w:style w:type="character" w:customStyle="1" w:styleId="pag00000357st000020">
    <w:name w:val="pag_00000357_st000020"/>
    <w:basedOn w:val="Policepardfaut"/>
    <w:rsid w:val="00A464CD"/>
  </w:style>
  <w:style w:type="character" w:customStyle="1" w:styleId="pag00000357st000021">
    <w:name w:val="pag_00000357_st000021"/>
    <w:basedOn w:val="Policepardfaut"/>
    <w:rsid w:val="00A464CD"/>
  </w:style>
  <w:style w:type="character" w:customStyle="1" w:styleId="pag00000357st000022">
    <w:name w:val="pag_00000357_st000022"/>
    <w:basedOn w:val="Policepardfaut"/>
    <w:rsid w:val="00A464CD"/>
  </w:style>
  <w:style w:type="character" w:customStyle="1" w:styleId="pag00000357st000023">
    <w:name w:val="pag_00000357_st000023"/>
    <w:basedOn w:val="Policepardfaut"/>
    <w:rsid w:val="00A464CD"/>
  </w:style>
  <w:style w:type="character" w:customStyle="1" w:styleId="pag00000357st000024">
    <w:name w:val="pag_00000357_st000024"/>
    <w:basedOn w:val="Policepardfaut"/>
    <w:rsid w:val="00A464CD"/>
  </w:style>
  <w:style w:type="character" w:customStyle="1" w:styleId="pag00000357st000025">
    <w:name w:val="pag_00000357_st000025"/>
    <w:basedOn w:val="Policepardfaut"/>
    <w:rsid w:val="00A464CD"/>
  </w:style>
  <w:style w:type="character" w:customStyle="1" w:styleId="pag00000357st000026">
    <w:name w:val="pag_00000357_st000026"/>
    <w:basedOn w:val="Policepardfaut"/>
    <w:rsid w:val="00A464CD"/>
  </w:style>
  <w:style w:type="character" w:customStyle="1" w:styleId="pag00000357st000027">
    <w:name w:val="pag_00000357_st000027"/>
    <w:basedOn w:val="Policepardfaut"/>
    <w:rsid w:val="00A464CD"/>
  </w:style>
  <w:style w:type="character" w:customStyle="1" w:styleId="pag00000357st000028">
    <w:name w:val="pag_00000357_st000028"/>
    <w:basedOn w:val="Policepardfaut"/>
    <w:rsid w:val="00A464CD"/>
  </w:style>
  <w:style w:type="character" w:customStyle="1" w:styleId="pag00000357st000029">
    <w:name w:val="pag_00000357_st000029"/>
    <w:basedOn w:val="Policepardfaut"/>
    <w:rsid w:val="00A464CD"/>
  </w:style>
  <w:style w:type="character" w:customStyle="1" w:styleId="pag00000357st000030">
    <w:name w:val="pag_00000357_st000030"/>
    <w:basedOn w:val="Policepardfaut"/>
    <w:rsid w:val="00A464CD"/>
  </w:style>
  <w:style w:type="character" w:customStyle="1" w:styleId="pag00000357st000031">
    <w:name w:val="pag_00000357_st000031"/>
    <w:basedOn w:val="Policepardfaut"/>
    <w:rsid w:val="00A464CD"/>
  </w:style>
  <w:style w:type="character" w:customStyle="1" w:styleId="pag00000357st000032">
    <w:name w:val="pag_00000357_st000032"/>
    <w:basedOn w:val="Policepardfaut"/>
    <w:rsid w:val="00A464CD"/>
  </w:style>
  <w:style w:type="character" w:customStyle="1" w:styleId="pag00000357st000033">
    <w:name w:val="pag_00000357_st000033"/>
    <w:basedOn w:val="Policepardfaut"/>
    <w:rsid w:val="00A464CD"/>
  </w:style>
  <w:style w:type="character" w:customStyle="1" w:styleId="pag00000357st000034">
    <w:name w:val="pag_00000357_st000034"/>
    <w:basedOn w:val="Policepardfaut"/>
    <w:rsid w:val="00A464CD"/>
  </w:style>
  <w:style w:type="character" w:customStyle="1" w:styleId="pag00000357st000035">
    <w:name w:val="pag_00000357_st000035"/>
    <w:basedOn w:val="Policepardfaut"/>
    <w:rsid w:val="00A464CD"/>
  </w:style>
  <w:style w:type="character" w:customStyle="1" w:styleId="pag00000357st000036">
    <w:name w:val="pag_00000357_st000036"/>
    <w:basedOn w:val="Policepardfaut"/>
    <w:rsid w:val="00A464CD"/>
  </w:style>
  <w:style w:type="character" w:customStyle="1" w:styleId="pag00000357st000037">
    <w:name w:val="pag_00000357_st000037"/>
    <w:basedOn w:val="Policepardfaut"/>
    <w:rsid w:val="00A464CD"/>
  </w:style>
  <w:style w:type="character" w:customStyle="1" w:styleId="pag00000357st000038">
    <w:name w:val="pag_00000357_st000038"/>
    <w:basedOn w:val="Policepardfaut"/>
    <w:rsid w:val="00A464CD"/>
  </w:style>
  <w:style w:type="character" w:customStyle="1" w:styleId="pag00000357st000039">
    <w:name w:val="pag_00000357_st000039"/>
    <w:basedOn w:val="Policepardfaut"/>
    <w:rsid w:val="00A464CD"/>
  </w:style>
  <w:style w:type="character" w:customStyle="1" w:styleId="pag00000357st000040">
    <w:name w:val="pag_00000357_st000040"/>
    <w:basedOn w:val="Policepardfaut"/>
    <w:rsid w:val="00A464CD"/>
  </w:style>
  <w:style w:type="character" w:customStyle="1" w:styleId="pag00000357st000041">
    <w:name w:val="pag_00000357_st000041"/>
    <w:basedOn w:val="Policepardfaut"/>
    <w:rsid w:val="00A464CD"/>
  </w:style>
  <w:style w:type="character" w:customStyle="1" w:styleId="pag00000357st000042">
    <w:name w:val="pag_00000357_st000042"/>
    <w:basedOn w:val="Policepardfaut"/>
    <w:rsid w:val="00A464CD"/>
  </w:style>
  <w:style w:type="character" w:customStyle="1" w:styleId="pag00000357st000043">
    <w:name w:val="pag_00000357_st000043"/>
    <w:basedOn w:val="Policepardfaut"/>
    <w:rsid w:val="00A464CD"/>
  </w:style>
  <w:style w:type="character" w:customStyle="1" w:styleId="pag00000357st000044">
    <w:name w:val="pag_00000357_st000044"/>
    <w:basedOn w:val="Policepardfaut"/>
    <w:rsid w:val="00A464CD"/>
  </w:style>
  <w:style w:type="character" w:customStyle="1" w:styleId="pag00000357st000045">
    <w:name w:val="pag_00000357_st000045"/>
    <w:basedOn w:val="Policepardfaut"/>
    <w:rsid w:val="00A464CD"/>
  </w:style>
  <w:style w:type="character" w:customStyle="1" w:styleId="pag00000357st000046">
    <w:name w:val="pag_00000357_st000046"/>
    <w:basedOn w:val="Policepardfaut"/>
    <w:rsid w:val="00A464CD"/>
  </w:style>
  <w:style w:type="character" w:customStyle="1" w:styleId="pag00000357st000047">
    <w:name w:val="pag_00000357_st000047"/>
    <w:basedOn w:val="Policepardfaut"/>
    <w:rsid w:val="00A464CD"/>
  </w:style>
  <w:style w:type="character" w:customStyle="1" w:styleId="pag00000357st000048">
    <w:name w:val="pag_00000357_st000048"/>
    <w:basedOn w:val="Policepardfaut"/>
    <w:rsid w:val="00A464CD"/>
  </w:style>
  <w:style w:type="character" w:customStyle="1" w:styleId="pag00000357st000049">
    <w:name w:val="pag_00000357_st000049"/>
    <w:basedOn w:val="Policepardfaut"/>
    <w:rsid w:val="00A464CD"/>
  </w:style>
  <w:style w:type="character" w:customStyle="1" w:styleId="pag00000357st000050">
    <w:name w:val="pag_00000357_st000050"/>
    <w:basedOn w:val="Policepardfaut"/>
    <w:rsid w:val="00A464CD"/>
  </w:style>
  <w:style w:type="character" w:customStyle="1" w:styleId="pag00000357st000051">
    <w:name w:val="pag_00000357_st000051"/>
    <w:basedOn w:val="Policepardfaut"/>
    <w:rsid w:val="00A464CD"/>
  </w:style>
  <w:style w:type="character" w:customStyle="1" w:styleId="pag00000357st000052">
    <w:name w:val="pag_00000357_st000052"/>
    <w:basedOn w:val="Policepardfaut"/>
    <w:rsid w:val="00A464CD"/>
  </w:style>
  <w:style w:type="character" w:customStyle="1" w:styleId="pag00000357st000053">
    <w:name w:val="pag_00000357_st000053"/>
    <w:basedOn w:val="Policepardfaut"/>
    <w:rsid w:val="00A464CD"/>
  </w:style>
  <w:style w:type="character" w:customStyle="1" w:styleId="pag00000357st000054">
    <w:name w:val="pag_00000357_st000054"/>
    <w:basedOn w:val="Policepardfaut"/>
    <w:rsid w:val="00A464CD"/>
  </w:style>
  <w:style w:type="character" w:customStyle="1" w:styleId="pag00000357st000055">
    <w:name w:val="pag_00000357_st000055"/>
    <w:basedOn w:val="Policepardfaut"/>
    <w:rsid w:val="00A464CD"/>
  </w:style>
  <w:style w:type="character" w:customStyle="1" w:styleId="pag00000357st000056">
    <w:name w:val="pag_00000357_st000056"/>
    <w:basedOn w:val="Policepardfaut"/>
    <w:rsid w:val="00A464CD"/>
  </w:style>
  <w:style w:type="character" w:customStyle="1" w:styleId="pag00000357st000057">
    <w:name w:val="pag_00000357_st000057"/>
    <w:basedOn w:val="Policepardfaut"/>
    <w:rsid w:val="00A464CD"/>
  </w:style>
  <w:style w:type="character" w:customStyle="1" w:styleId="pag00000357st000058">
    <w:name w:val="pag_00000357_st000058"/>
    <w:basedOn w:val="Policepardfaut"/>
    <w:rsid w:val="00A464CD"/>
  </w:style>
  <w:style w:type="character" w:customStyle="1" w:styleId="pag00000357st000059">
    <w:name w:val="pag_00000357_st000059"/>
    <w:basedOn w:val="Policepardfaut"/>
    <w:rsid w:val="00A464CD"/>
  </w:style>
  <w:style w:type="character" w:customStyle="1" w:styleId="pag00000357st000060">
    <w:name w:val="pag_00000357_st000060"/>
    <w:basedOn w:val="Policepardfaut"/>
    <w:rsid w:val="00A464CD"/>
  </w:style>
  <w:style w:type="character" w:customStyle="1" w:styleId="pag00000357st000061">
    <w:name w:val="pag_00000357_st000061"/>
    <w:basedOn w:val="Policepardfaut"/>
    <w:rsid w:val="00A464CD"/>
  </w:style>
  <w:style w:type="character" w:customStyle="1" w:styleId="pag00000357st000062">
    <w:name w:val="pag_00000357_st000062"/>
    <w:basedOn w:val="Policepardfaut"/>
    <w:rsid w:val="00A464CD"/>
  </w:style>
  <w:style w:type="character" w:customStyle="1" w:styleId="pag00000357st000063">
    <w:name w:val="pag_00000357_st000063"/>
    <w:basedOn w:val="Policepardfaut"/>
    <w:rsid w:val="00A464CD"/>
  </w:style>
  <w:style w:type="character" w:customStyle="1" w:styleId="pag00000357st000064">
    <w:name w:val="pag_00000357_st000064"/>
    <w:basedOn w:val="Policepardfaut"/>
    <w:rsid w:val="00A464CD"/>
  </w:style>
  <w:style w:type="character" w:customStyle="1" w:styleId="pag00000357st000065">
    <w:name w:val="pag_00000357_st000065"/>
    <w:basedOn w:val="Policepardfaut"/>
    <w:rsid w:val="00A464CD"/>
  </w:style>
  <w:style w:type="character" w:customStyle="1" w:styleId="pag00000357st000066">
    <w:name w:val="pag_00000357_st000066"/>
    <w:basedOn w:val="Policepardfaut"/>
    <w:rsid w:val="00A464CD"/>
  </w:style>
  <w:style w:type="character" w:customStyle="1" w:styleId="pag00000357st000067">
    <w:name w:val="pag_00000357_st000067"/>
    <w:basedOn w:val="Policepardfaut"/>
    <w:rsid w:val="00A464CD"/>
  </w:style>
  <w:style w:type="character" w:customStyle="1" w:styleId="pag00000357st000068">
    <w:name w:val="pag_00000357_st000068"/>
    <w:basedOn w:val="Policepardfaut"/>
    <w:rsid w:val="00A464CD"/>
  </w:style>
  <w:style w:type="character" w:customStyle="1" w:styleId="pag00000357st000069">
    <w:name w:val="pag_00000357_st000069"/>
    <w:basedOn w:val="Policepardfaut"/>
    <w:rsid w:val="00A464CD"/>
  </w:style>
  <w:style w:type="character" w:customStyle="1" w:styleId="pag00000357st000070">
    <w:name w:val="pag_00000357_st000070"/>
    <w:basedOn w:val="Policepardfaut"/>
    <w:rsid w:val="00A464CD"/>
  </w:style>
  <w:style w:type="character" w:customStyle="1" w:styleId="pag00000357st000071">
    <w:name w:val="pag_00000357_st000071"/>
    <w:basedOn w:val="Policepardfaut"/>
    <w:rsid w:val="00A464CD"/>
  </w:style>
  <w:style w:type="character" w:customStyle="1" w:styleId="pag00000357st000072">
    <w:name w:val="pag_00000357_st000072"/>
    <w:basedOn w:val="Policepardfaut"/>
    <w:rsid w:val="00A464CD"/>
  </w:style>
  <w:style w:type="character" w:customStyle="1" w:styleId="pag00000357st000073">
    <w:name w:val="pag_00000357_st000073"/>
    <w:basedOn w:val="Policepardfaut"/>
    <w:rsid w:val="00A464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s24776%203-index.docx" TargetMode="External"/><Relationship Id="rId13" Type="http://schemas.openxmlformats.org/officeDocument/2006/relationships/hyperlink" Target="http://gallica.bnf.fr/ark:/12148/bpt6k6429355h/f270.image" TargetMode="External"/><Relationship Id="rId18" Type="http://schemas.openxmlformats.org/officeDocument/2006/relationships/hyperlink" Target="http://gallica.bnf.fr/ark:/12148/bpt6k6429355h/f300.imag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gallica.bnf.fr/ark:/12148/bpt6k6429355h/f317.image" TargetMode="External"/><Relationship Id="rId7" Type="http://schemas.openxmlformats.org/officeDocument/2006/relationships/hyperlink" Target="Ms24776%202-B.docx" TargetMode="External"/><Relationship Id="rId12" Type="http://schemas.openxmlformats.org/officeDocument/2006/relationships/hyperlink" Target="http://gallica.bnf.fr/ark:/12148/bpt6k17451v/f453.image.r=" TargetMode="External"/><Relationship Id="rId17" Type="http://schemas.openxmlformats.org/officeDocument/2006/relationships/hyperlink" Target="http://gallica.bnf.fr/ark:/12148/bpt6k6429355h/f279.image" TargetMode="External"/><Relationship Id="rId25" Type="http://schemas.openxmlformats.org/officeDocument/2006/relationships/hyperlink" Target="../Ms%2013383.%20Pr&#233;face%20pour%20la%20nouvelle%20traduction%20de%20Shakespeare.%20Texte%20et%20Reliquat" TargetMode="External"/><Relationship Id="rId2" Type="http://schemas.openxmlformats.org/officeDocument/2006/relationships/numbering" Target="numbering.xml"/><Relationship Id="rId16" Type="http://schemas.openxmlformats.org/officeDocument/2006/relationships/hyperlink" Target="http://www.persee.fr/doc/caief_0571-5865_1967_num_19_1_2346" TargetMode="External"/><Relationship Id="rId20" Type="http://schemas.openxmlformats.org/officeDocument/2006/relationships/hyperlink" Target="https://archive.org/stream/postscriptumdema00hugo" TargetMode="External"/><Relationship Id="rId1" Type="http://schemas.openxmlformats.org/officeDocument/2006/relationships/customXml" Target="../customXml/item1.xml"/><Relationship Id="rId6" Type="http://schemas.openxmlformats.org/officeDocument/2006/relationships/hyperlink" Target="Ms24776%201-A.docx" TargetMode="External"/><Relationship Id="rId11" Type="http://schemas.openxmlformats.org/officeDocument/2006/relationships/hyperlink" Target="http://gallica.bnf.fr/ark:/12148/bpt6k141436z/f5.tableDesMatieres" TargetMode="External"/><Relationship Id="rId24" Type="http://schemas.openxmlformats.org/officeDocument/2006/relationships/hyperlink" Target="http://gallica.bnf.fr/ark:/12148/bpt6k6429355h/f357.image" TargetMode="External"/><Relationship Id="rId5" Type="http://schemas.openxmlformats.org/officeDocument/2006/relationships/webSettings" Target="webSettings.xml"/><Relationship Id="rId15" Type="http://schemas.openxmlformats.org/officeDocument/2006/relationships/hyperlink" Target="http://gallica.bnf.fr/ark:/12148/bpt6k6429355h/f302.image.r=Pradier" TargetMode="External"/><Relationship Id="rId23" Type="http://schemas.openxmlformats.org/officeDocument/2006/relationships/hyperlink" Target="http://gallica.bnf.fr/ark:/12148/bpt6k6429355h/f347.image" TargetMode="External"/><Relationship Id="rId10" Type="http://schemas.openxmlformats.org/officeDocument/2006/relationships/hyperlink" Target="Ms24776%200%20Notice-Tableau%201.docx" TargetMode="External"/><Relationship Id="rId19" Type="http://schemas.openxmlformats.org/officeDocument/2006/relationships/hyperlink" Target="http://books.google.fr/books?id=xGOeglaIcA0C&amp;lpg=PP1&amp;hl=fr&amp;pg=PP1" TargetMode="External"/><Relationship Id="rId4" Type="http://schemas.openxmlformats.org/officeDocument/2006/relationships/settings" Target="settings.xml"/><Relationship Id="rId9" Type="http://schemas.openxmlformats.org/officeDocument/2006/relationships/hyperlink" Target="http://gallica.bnf.fr/ark:/12148/bpt6k6429355h/f7.image" TargetMode="External"/><Relationship Id="rId14" Type="http://schemas.openxmlformats.org/officeDocument/2006/relationships/hyperlink" Target="https://archive.org/stream/postscriptumdema00hugo" TargetMode="External"/><Relationship Id="rId22" Type="http://schemas.openxmlformats.org/officeDocument/2006/relationships/hyperlink" Target="http://gallica.bnf.fr/ark:/12148/bpt6k6429355h/f353.image"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567A9-9968-4F96-AE58-63DA02B0F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1659</TotalTime>
  <Pages>7</Pages>
  <Words>4949</Words>
  <Characters>27224</Characters>
  <Application>Microsoft Office Word</Application>
  <DocSecurity>0</DocSecurity>
  <Lines>226</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32109</CharactersWithSpaces>
  <SharedDoc>false</SharedDoc>
  <HyperlinkBase>http://www.groupugo.univ-paris-diderot.fr/Ms24776/</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CASSIER</dc:creator>
  <cp:keywords/>
  <dc:description/>
  <cp:lastModifiedBy>Guy ROSA</cp:lastModifiedBy>
  <cp:revision>14</cp:revision>
  <dcterms:created xsi:type="dcterms:W3CDTF">2015-11-06T19:00:00Z</dcterms:created>
  <dcterms:modified xsi:type="dcterms:W3CDTF">2019-10-25T15:48:00Z</dcterms:modified>
</cp:coreProperties>
</file>